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21036E" w14:textId="77777777" w:rsidR="00C94C15" w:rsidRPr="006D6C45" w:rsidRDefault="00C94C15" w:rsidP="00C94C15">
      <w:pPr>
        <w:pStyle w:val="HdgLeft"/>
        <w:rPr>
          <w:lang w:val="en-US" w:eastAsia="en-NZ"/>
        </w:rPr>
      </w:pPr>
      <w:r>
        <w:t>31 October 2023</w:t>
      </w:r>
    </w:p>
    <w:p w14:paraId="518D520D" w14:textId="77777777" w:rsidR="00C94C15" w:rsidRPr="006D6C45" w:rsidRDefault="00C94C15" w:rsidP="00C94C15">
      <w:pPr>
        <w:pStyle w:val="HdgLeft"/>
        <w:rPr>
          <w:lang w:val="en-US" w:eastAsia="en-NZ"/>
        </w:rPr>
      </w:pPr>
      <w:r>
        <w:t>Submission:</w:t>
      </w:r>
    </w:p>
    <w:p w14:paraId="35919451" w14:textId="7BDD9E66" w:rsidR="00C94C15" w:rsidRPr="006D6C45" w:rsidRDefault="00C94C15" w:rsidP="00C94C15">
      <w:r>
        <w:t xml:space="preserve">Potential </w:t>
      </w:r>
      <w:r w:rsidR="00802FF5">
        <w:t>Amendments</w:t>
      </w:r>
      <w:r>
        <w:t xml:space="preserve"> to the National Policy Statement for Highly Productive Land</w:t>
      </w:r>
    </w:p>
    <w:p w14:paraId="2CF3A7DE" w14:textId="77777777" w:rsidR="00C94C15" w:rsidRPr="006D6C45" w:rsidRDefault="00C94C15" w:rsidP="00C94C15">
      <w:pPr>
        <w:pStyle w:val="HdgLeft"/>
        <w:rPr>
          <w:lang w:val="en-US" w:eastAsia="en-NZ"/>
        </w:rPr>
      </w:pPr>
      <w:r>
        <w:t>To:</w:t>
      </w:r>
    </w:p>
    <w:p w14:paraId="1A7BAB38" w14:textId="77777777" w:rsidR="00C94C15" w:rsidRPr="006D6C45" w:rsidRDefault="00C94C15" w:rsidP="00C94C15">
      <w:r w:rsidRPr="006D6C45">
        <w:t>Ministry for Primary Industries</w:t>
      </w:r>
    </w:p>
    <w:p w14:paraId="15644655" w14:textId="77777777" w:rsidR="00C94C15" w:rsidRPr="006D6C45" w:rsidRDefault="00C94C15" w:rsidP="00C94C15">
      <w:pPr>
        <w:pStyle w:val="HdgLeft"/>
        <w:rPr>
          <w:lang w:val="en-US" w:eastAsia="en-NZ"/>
        </w:rPr>
      </w:pPr>
      <w:r>
        <w:t>From:</w:t>
      </w:r>
    </w:p>
    <w:p w14:paraId="42EAED31" w14:textId="0F7CF236" w:rsidR="00C94C15" w:rsidRDefault="00C94C15" w:rsidP="00C94C15">
      <w:r w:rsidRPr="006D6C45">
        <w:t>Poultry Industry Association New Zealand</w:t>
      </w:r>
      <w:r w:rsidR="00802FF5">
        <w:t>/ Egg Producers Federation of New Zealand</w:t>
      </w:r>
    </w:p>
    <w:p w14:paraId="499A4120" w14:textId="77777777" w:rsidR="00C94C15" w:rsidRDefault="00C94C15" w:rsidP="00C94C15">
      <w:pPr>
        <w:jc w:val="center"/>
      </w:pPr>
    </w:p>
    <w:p w14:paraId="3DC137AD" w14:textId="77777777" w:rsidR="00C94C15" w:rsidRDefault="00C94C15" w:rsidP="00C94C15">
      <w:pPr>
        <w:jc w:val="center"/>
      </w:pPr>
    </w:p>
    <w:p w14:paraId="3881B387" w14:textId="77777777" w:rsidR="00C94C15" w:rsidRDefault="00C94C15" w:rsidP="00C94C15">
      <w:pPr>
        <w:pStyle w:val="HdgLeft"/>
        <w:rPr>
          <w:lang w:val="en-US" w:eastAsia="en-NZ"/>
        </w:rPr>
      </w:pPr>
    </w:p>
    <w:p w14:paraId="62D1070D" w14:textId="77777777" w:rsidR="00C94C15" w:rsidRDefault="00C94C15" w:rsidP="00C94C15">
      <w:pPr>
        <w:pStyle w:val="HdgLeft"/>
        <w:rPr>
          <w:lang w:val="en-US" w:eastAsia="en-NZ"/>
        </w:rPr>
      </w:pPr>
      <w:r>
        <w:t>Address for service of submitter:</w:t>
      </w:r>
    </w:p>
    <w:p w14:paraId="080862BB" w14:textId="4C5B4BD6" w:rsidR="00C94C15" w:rsidRDefault="00C94C15" w:rsidP="00C94C15">
      <w:r w:rsidRPr="006D6C45">
        <w:t>Poultry Industry Association New Zealand</w:t>
      </w:r>
      <w:r w:rsidR="00EA0933" w:rsidRPr="00EA0933">
        <w:t xml:space="preserve"> </w:t>
      </w:r>
      <w:r w:rsidR="00EA0933">
        <w:t>/ Egg Producers Federation of New Zealand</w:t>
      </w:r>
    </w:p>
    <w:p w14:paraId="44C04DB7" w14:textId="77777777" w:rsidR="00C94C15" w:rsidRDefault="00C94C15" w:rsidP="00C94C15">
      <w:pPr>
        <w:rPr>
          <w:lang w:val="en-US" w:eastAsia="en-NZ"/>
        </w:rPr>
      </w:pPr>
      <w:r>
        <w:t>C/- Harrison Grierson Consultants Limited</w:t>
      </w:r>
    </w:p>
    <w:p w14:paraId="20723EA6" w14:textId="77777777" w:rsidR="00C94C15" w:rsidRDefault="00C94C15" w:rsidP="00C94C15">
      <w:pPr>
        <w:rPr>
          <w:lang w:val="en-US" w:eastAsia="en-NZ"/>
        </w:rPr>
      </w:pPr>
      <w:r>
        <w:t>PO Box 1130, Queenstown 9348</w:t>
      </w:r>
    </w:p>
    <w:p w14:paraId="59DA1FA0" w14:textId="77777777" w:rsidR="00C94C15" w:rsidRDefault="00C94C15" w:rsidP="00C94C15">
      <w:pPr>
        <w:rPr>
          <w:lang w:val="en-US" w:eastAsia="en-NZ"/>
        </w:rPr>
      </w:pPr>
      <w:r>
        <w:t>Attention: Mary McConnell</w:t>
      </w:r>
    </w:p>
    <w:p w14:paraId="1FFC153E" w14:textId="77777777" w:rsidR="00C94C15" w:rsidRDefault="00C94C15" w:rsidP="00C94C15">
      <w:pPr>
        <w:rPr>
          <w:lang w:val="en-US" w:eastAsia="en-NZ"/>
        </w:rPr>
      </w:pPr>
    </w:p>
    <w:p w14:paraId="24C7B661" w14:textId="77777777" w:rsidR="00C94C15" w:rsidRDefault="00C94C15" w:rsidP="00C94C15">
      <w:pPr>
        <w:rPr>
          <w:lang w:val="en-US" w:eastAsia="en-NZ"/>
        </w:rPr>
      </w:pPr>
      <w:r>
        <w:t>M +64 21 721 623</w:t>
      </w:r>
    </w:p>
    <w:p w14:paraId="1CAC6C53" w14:textId="77777777" w:rsidR="00C94C15" w:rsidRDefault="00954C69" w:rsidP="00C94C15">
      <w:pPr>
        <w:rPr>
          <w:lang w:val="en-US" w:eastAsia="en-NZ"/>
        </w:rPr>
      </w:pPr>
      <w:hyperlink r:id="rId8">
        <w:r w:rsidR="00C94C15" w:rsidRPr="52D61DB6">
          <w:rPr>
            <w:rStyle w:val="Hyperlink"/>
          </w:rPr>
          <w:t>m.mcconnell@harrisongrierson.com</w:t>
        </w:r>
      </w:hyperlink>
    </w:p>
    <w:p w14:paraId="6BBBB446" w14:textId="686664FE" w:rsidR="00C94C15" w:rsidRDefault="00C94C15">
      <w:pPr>
        <w:spacing w:before="80" w:line="240" w:lineRule="auto"/>
      </w:pPr>
      <w:r>
        <w:br w:type="page"/>
      </w:r>
    </w:p>
    <w:p w14:paraId="3F63EF8E" w14:textId="77777777" w:rsidR="00C94C15" w:rsidRDefault="00C94C15" w:rsidP="00C94C15">
      <w:pPr>
        <w:pStyle w:val="Heading1"/>
        <w:numPr>
          <w:ilvl w:val="0"/>
          <w:numId w:val="3"/>
        </w:numPr>
      </w:pPr>
      <w:r>
        <w:lastRenderedPageBreak/>
        <w:t>Introduction</w:t>
      </w:r>
    </w:p>
    <w:p w14:paraId="77E9E968" w14:textId="3144058A" w:rsidR="00C94C15" w:rsidRDefault="00C94C15" w:rsidP="008D459F">
      <w:pPr>
        <w:pStyle w:val="NIndent"/>
      </w:pPr>
      <w:r>
        <w:t xml:space="preserve">Poultry Industry Association New Zealand (PIANZ) </w:t>
      </w:r>
      <w:r w:rsidR="00802FF5">
        <w:t xml:space="preserve">and the Egg Producers Federation of New Zealand (EPFNZ) </w:t>
      </w:r>
      <w:r>
        <w:t>would like to thank the Ministry for the Environment (</w:t>
      </w:r>
      <w:proofErr w:type="spellStart"/>
      <w:r>
        <w:t>MfE</w:t>
      </w:r>
      <w:proofErr w:type="spellEnd"/>
      <w:r>
        <w:t>) and the Ministry of Primary Industries (MPI) for the opportunity to provide feedback on potential amendments to the National Policy Statement for Highly Productive Land (NPS-HPL).</w:t>
      </w:r>
    </w:p>
    <w:p w14:paraId="63AC3E47" w14:textId="4488C49B" w:rsidR="00C94C15" w:rsidRDefault="00C94C15" w:rsidP="008D459F">
      <w:pPr>
        <w:pStyle w:val="NIndent"/>
      </w:pPr>
      <w:proofErr w:type="spellStart"/>
      <w:r>
        <w:t>MfE</w:t>
      </w:r>
      <w:proofErr w:type="spellEnd"/>
      <w:r>
        <w:t xml:space="preserve"> and MPI have identified two issues with </w:t>
      </w:r>
      <w:r w:rsidR="00802FF5">
        <w:t>implementing</w:t>
      </w:r>
      <w:r>
        <w:t xml:space="preserve"> the NPS-HPL since it </w:t>
      </w:r>
      <w:r w:rsidR="00802FF5">
        <w:t>was enacted</w:t>
      </w:r>
      <w:r>
        <w:t xml:space="preserve"> on 17 October 2022. These are reiterated as follows:</w:t>
      </w:r>
    </w:p>
    <w:p w14:paraId="61DE219A" w14:textId="0F12E3CC" w:rsidR="00C94C15" w:rsidRDefault="00C94C15" w:rsidP="008D459F">
      <w:pPr>
        <w:pStyle w:val="NIndent"/>
        <w:rPr>
          <w:i/>
          <w:iCs/>
        </w:rPr>
      </w:pPr>
      <w:r w:rsidRPr="26A85E35">
        <w:rPr>
          <w:i/>
          <w:iCs/>
        </w:rPr>
        <w:t>The omission of a clear consent pathway for the construction of new specified infrastructure in clause 3.9(2)(j)(</w:t>
      </w:r>
      <w:proofErr w:type="spellStart"/>
      <w:r w:rsidRPr="26A85E35">
        <w:rPr>
          <w:i/>
          <w:iCs/>
        </w:rPr>
        <w:t>i</w:t>
      </w:r>
      <w:proofErr w:type="spellEnd"/>
      <w:r w:rsidRPr="26A85E35">
        <w:rPr>
          <w:i/>
          <w:iCs/>
        </w:rPr>
        <w:t>). This could limit the ability to provide necessary new specified infrastructure on HPL.</w:t>
      </w:r>
    </w:p>
    <w:p w14:paraId="21BBFBCC" w14:textId="77777777" w:rsidR="00C94C15" w:rsidRDefault="00C94C15" w:rsidP="008D459F">
      <w:pPr>
        <w:pStyle w:val="NIndent"/>
        <w:rPr>
          <w:rFonts w:eastAsia="Caecilia LT Std Light"/>
          <w:i/>
          <w:iCs/>
        </w:rPr>
      </w:pPr>
      <w:r w:rsidRPr="26A85E35">
        <w:rPr>
          <w:rFonts w:eastAsia="Caecilia LT Std Light"/>
          <w:i/>
          <w:iCs/>
        </w:rPr>
        <w:t>The absence of a clear consent pathway for intensive indoor primary production and greenhouses to develop or relocate on HPL. This may make climate change adaptation more challenging for these industries</w:t>
      </w:r>
      <w:r w:rsidRPr="26A85E35">
        <w:rPr>
          <w:rStyle w:val="FootnoteReference"/>
          <w:rFonts w:eastAsia="Caecilia LT Std Light"/>
          <w:i/>
          <w:iCs/>
        </w:rPr>
        <w:footnoteReference w:id="1"/>
      </w:r>
      <w:r w:rsidRPr="26A85E35">
        <w:rPr>
          <w:rFonts w:eastAsia="Caecilia LT Std Light"/>
          <w:i/>
          <w:iCs/>
        </w:rPr>
        <w:t xml:space="preserve">. </w:t>
      </w:r>
    </w:p>
    <w:p w14:paraId="43B77556" w14:textId="62B9B265" w:rsidR="00C94C15" w:rsidRDefault="00C94C15" w:rsidP="008D459F">
      <w:pPr>
        <w:pStyle w:val="NIndent"/>
      </w:pPr>
      <w:r>
        <w:t>In preparing this submission</w:t>
      </w:r>
      <w:r w:rsidR="00802FF5">
        <w:t>,</w:t>
      </w:r>
      <w:r>
        <w:t xml:space="preserve"> I have read the following documents:</w:t>
      </w:r>
    </w:p>
    <w:p w14:paraId="701D2EDE" w14:textId="77777777" w:rsidR="00C94C15" w:rsidRPr="00A24E35" w:rsidRDefault="00C94C15" w:rsidP="00A24E35">
      <w:pPr>
        <w:pStyle w:val="Heading8"/>
        <w:rPr>
          <w:rFonts w:ascii="Neue Haas Grotesk Text Pro" w:hAnsi="Neue Haas Grotesk Text Pro"/>
        </w:rPr>
      </w:pPr>
      <w:r w:rsidRPr="00A24E35">
        <w:rPr>
          <w:rFonts w:ascii="Neue Haas Grotesk Text Pro" w:hAnsi="Neue Haas Grotesk Text Pro"/>
        </w:rPr>
        <w:t xml:space="preserve">Managing the use and development of highly productive land: Potential amendments to the NPS-HPL – Discussion document. </w:t>
      </w:r>
    </w:p>
    <w:p w14:paraId="2A9BF78E" w14:textId="77777777" w:rsidR="00C94C15" w:rsidRPr="00A24E35" w:rsidRDefault="00C94C15" w:rsidP="00A24E35">
      <w:pPr>
        <w:pStyle w:val="Heading8"/>
        <w:rPr>
          <w:rFonts w:ascii="Neue Haas Grotesk Text Pro" w:hAnsi="Neue Haas Grotesk Text Pro"/>
        </w:rPr>
      </w:pPr>
      <w:r w:rsidRPr="00A24E35">
        <w:rPr>
          <w:rFonts w:ascii="Neue Haas Grotesk Text Pro" w:hAnsi="Neue Haas Grotesk Text Pro"/>
        </w:rPr>
        <w:t xml:space="preserve">National Policy Statement for Highly Productive Land: Evaluation report under section 32 of the Resource Management Act. </w:t>
      </w:r>
    </w:p>
    <w:p w14:paraId="3C74D4A2" w14:textId="77777777" w:rsidR="00C94C15" w:rsidRPr="00A24E35" w:rsidRDefault="00C94C15" w:rsidP="00A24E35">
      <w:pPr>
        <w:pStyle w:val="Heading8"/>
        <w:rPr>
          <w:rFonts w:ascii="Neue Haas Grotesk Text Pro" w:hAnsi="Neue Haas Grotesk Text Pro"/>
        </w:rPr>
      </w:pPr>
      <w:r w:rsidRPr="00A24E35">
        <w:rPr>
          <w:rFonts w:ascii="Neue Haas Grotesk Text Pro" w:hAnsi="Neue Haas Grotesk Text Pro"/>
        </w:rPr>
        <w:t xml:space="preserve">Ministry for Primary Industries and Ministry for the Environment. 2022. Recommendations and decisions report on the National Policy Statement for Highly Productive Land. </w:t>
      </w:r>
    </w:p>
    <w:p w14:paraId="690E20B8" w14:textId="77777777" w:rsidR="00C94C15" w:rsidRPr="00A24E35" w:rsidRDefault="00C94C15" w:rsidP="00A24E35">
      <w:pPr>
        <w:pStyle w:val="Heading8"/>
        <w:rPr>
          <w:rFonts w:ascii="Neue Haas Grotesk Text Pro" w:hAnsi="Neue Haas Grotesk Text Pro"/>
        </w:rPr>
      </w:pPr>
      <w:r w:rsidRPr="00A24E35">
        <w:rPr>
          <w:rFonts w:ascii="Neue Haas Grotesk Text Pro" w:hAnsi="Neue Haas Grotesk Text Pro"/>
        </w:rPr>
        <w:t xml:space="preserve">The National Policy Statement for Highly Productive Land 2022. </w:t>
      </w:r>
    </w:p>
    <w:p w14:paraId="5E0A12D3" w14:textId="77777777" w:rsidR="00C94C15" w:rsidRPr="00A24E35" w:rsidRDefault="00C94C15" w:rsidP="00A24E35">
      <w:pPr>
        <w:pStyle w:val="Heading8"/>
      </w:pPr>
      <w:r w:rsidRPr="00A24E35">
        <w:rPr>
          <w:rFonts w:ascii="Neue Haas Grotesk Text Pro" w:hAnsi="Neue Haas Grotesk Text Pro"/>
        </w:rPr>
        <w:t xml:space="preserve">National Planning Standards 2019. </w:t>
      </w:r>
    </w:p>
    <w:p w14:paraId="43811CA4" w14:textId="07B005DD" w:rsidR="00C94C15" w:rsidRDefault="00C94C15" w:rsidP="008D459F">
      <w:pPr>
        <w:pStyle w:val="NIndent"/>
      </w:pPr>
      <w:r>
        <w:t xml:space="preserve">PIANZ </w:t>
      </w:r>
      <w:r w:rsidR="00802FF5">
        <w:t>and EPFNZ look</w:t>
      </w:r>
      <w:r>
        <w:t xml:space="preserve"> forward to </w:t>
      </w:r>
      <w:r w:rsidR="00802FF5">
        <w:t xml:space="preserve">further consultation with </w:t>
      </w:r>
      <w:proofErr w:type="spellStart"/>
      <w:r w:rsidR="00802FF5">
        <w:t>MfE</w:t>
      </w:r>
      <w:proofErr w:type="spellEnd"/>
      <w:r w:rsidR="00802FF5">
        <w:t xml:space="preserve"> and MPI to ensure the NPS-HPL better reflects</w:t>
      </w:r>
      <w:r>
        <w:t xml:space="preserve"> the </w:t>
      </w:r>
      <w:r w:rsidR="00802FF5">
        <w:t>more comprehensive</w:t>
      </w:r>
      <w:r>
        <w:t xml:space="preserve"> National Policy Standards framework. </w:t>
      </w:r>
    </w:p>
    <w:p w14:paraId="4B34A04F" w14:textId="3ADD2AB3" w:rsidR="00C94C15" w:rsidRPr="00966BBF" w:rsidRDefault="00C94C15" w:rsidP="00C94C15">
      <w:pPr>
        <w:pStyle w:val="Heading1"/>
        <w:numPr>
          <w:ilvl w:val="0"/>
          <w:numId w:val="3"/>
        </w:numPr>
      </w:pPr>
      <w:r>
        <w:t>About PIANZ</w:t>
      </w:r>
      <w:r w:rsidR="00802FF5">
        <w:t xml:space="preserve"> and EPFNZ </w:t>
      </w:r>
    </w:p>
    <w:p w14:paraId="67E25729" w14:textId="77777777" w:rsidR="00A24E35" w:rsidRDefault="00C94C15" w:rsidP="008D459F">
      <w:pPr>
        <w:pStyle w:val="NIndent"/>
      </w:pPr>
      <w:r>
        <w:t xml:space="preserve">PIANZ is a trade association representing the wider New Zealand poultry industry, representing more than 99% of the poultry meat producers in New Zealand. </w:t>
      </w:r>
    </w:p>
    <w:p w14:paraId="3CF6E3A5" w14:textId="6D3A1270" w:rsidR="00C94C15" w:rsidRDefault="00802FF5" w:rsidP="008D459F">
      <w:pPr>
        <w:pStyle w:val="NIndent"/>
      </w:pPr>
      <w:r>
        <w:t>The EPFNZ is a trade association representing commercial layer hen farmers; commercial is defined as any framer with 100 hens or more.</w:t>
      </w:r>
    </w:p>
    <w:p w14:paraId="66880ED3" w14:textId="535AE73A" w:rsidR="00C94C15" w:rsidRDefault="00C94C15" w:rsidP="008D459F">
      <w:pPr>
        <w:pStyle w:val="NIndent"/>
      </w:pPr>
      <w:r>
        <w:t xml:space="preserve">PIANZ </w:t>
      </w:r>
      <w:r w:rsidR="00802FF5">
        <w:t>and EPFNZ work</w:t>
      </w:r>
      <w:r>
        <w:t xml:space="preserve"> with Government agencies to advocate for the </w:t>
      </w:r>
      <w:r w:rsidR="00802FF5">
        <w:t xml:space="preserve">wider </w:t>
      </w:r>
      <w:r>
        <w:t xml:space="preserve">poultry industry's ability to remain a trusted, </w:t>
      </w:r>
      <w:r w:rsidR="00802FF5">
        <w:t>economical</w:t>
      </w:r>
      <w:r>
        <w:t xml:space="preserve">, and safe </w:t>
      </w:r>
      <w:r w:rsidR="00802FF5">
        <w:t xml:space="preserve">food source of poultry meat and eggs </w:t>
      </w:r>
      <w:r>
        <w:t>for consumers</w:t>
      </w:r>
      <w:r w:rsidR="00802FF5">
        <w:t>,</w:t>
      </w:r>
      <w:r>
        <w:t xml:space="preserve"> now and for future generations.</w:t>
      </w:r>
    </w:p>
    <w:p w14:paraId="0CADA559" w14:textId="419771AA" w:rsidR="00C94C15" w:rsidRDefault="00C94C15" w:rsidP="008D459F">
      <w:pPr>
        <w:pStyle w:val="NIndent"/>
      </w:pPr>
      <w:r>
        <w:t xml:space="preserve">Poultry operations </w:t>
      </w:r>
      <w:r w:rsidR="00802FF5">
        <w:t>must be in or near rural areas to assist in managing</w:t>
      </w:r>
      <w:r>
        <w:t xml:space="preserve"> the potential environmental effects generated by the farms. The operations of the poultry industry can</w:t>
      </w:r>
      <w:r w:rsidR="00802FF5">
        <w:t>,</w:t>
      </w:r>
      <w:r>
        <w:t xml:space="preserve"> therefore</w:t>
      </w:r>
      <w:r w:rsidR="00802FF5">
        <w:t>,</w:t>
      </w:r>
      <w:r>
        <w:t xml:space="preserve"> be characterized by the need to be in rural areas within a reasonable distance </w:t>
      </w:r>
      <w:r w:rsidR="00802FF5">
        <w:t>of</w:t>
      </w:r>
      <w:r>
        <w:t xml:space="preserve"> the urban population. </w:t>
      </w:r>
    </w:p>
    <w:p w14:paraId="7CAD01FF" w14:textId="47FC783E" w:rsidR="00C94C15" w:rsidRDefault="00C94C15" w:rsidP="008D459F">
      <w:pPr>
        <w:pStyle w:val="NIndent"/>
      </w:pPr>
      <w:r>
        <w:t xml:space="preserve">PIANZ </w:t>
      </w:r>
      <w:r w:rsidR="00802FF5">
        <w:t xml:space="preserve">and EPFNZ </w:t>
      </w:r>
      <w:r>
        <w:t>wish to ensure that poultry operators are afforded the ability to function effectively in rural zones.</w:t>
      </w:r>
    </w:p>
    <w:p w14:paraId="14329C75" w14:textId="77777777" w:rsidR="00C94C15" w:rsidRDefault="00C94C15" w:rsidP="00C94C15">
      <w:pPr>
        <w:pStyle w:val="Heading1"/>
        <w:numPr>
          <w:ilvl w:val="0"/>
          <w:numId w:val="3"/>
        </w:numPr>
      </w:pPr>
      <w:r>
        <w:lastRenderedPageBreak/>
        <w:t>Summary of Submission</w:t>
      </w:r>
    </w:p>
    <w:p w14:paraId="74A9020D" w14:textId="77777777" w:rsidR="00C94C15" w:rsidRPr="006F0A06" w:rsidRDefault="00C94C15" w:rsidP="008D459F">
      <w:pPr>
        <w:pStyle w:val="NIndent"/>
      </w:pPr>
      <w:r>
        <w:t xml:space="preserve">This submission entirely relates to </w:t>
      </w:r>
      <w:r w:rsidRPr="26A85E35">
        <w:t xml:space="preserve">Issue 2: The absence of a clear consent pathway for intensive indoor primary production and greenhouses to develop or relocate on HPL. </w:t>
      </w:r>
    </w:p>
    <w:p w14:paraId="12C0ACDA" w14:textId="77777777" w:rsidR="00C94C15" w:rsidRDefault="00C94C15" w:rsidP="00C94C15">
      <w:pPr>
        <w:pStyle w:val="Heading1"/>
        <w:numPr>
          <w:ilvl w:val="0"/>
          <w:numId w:val="3"/>
        </w:numPr>
      </w:pPr>
      <w:r>
        <w:t>Submission Points</w:t>
      </w:r>
    </w:p>
    <w:p w14:paraId="04B3F20D" w14:textId="051EA397" w:rsidR="00C94C15" w:rsidRDefault="00C94C15" w:rsidP="00C94C15">
      <w:pPr>
        <w:pStyle w:val="NIndent"/>
      </w:pPr>
      <w:r>
        <w:t xml:space="preserve">The Discussion Document acknowledges no clear consent pathway for new intensive indoor primary production and greenhouses, even if there may be a functional or operational need for the activity to be located on HPL. </w:t>
      </w:r>
    </w:p>
    <w:p w14:paraId="0659A1CF" w14:textId="03768B69" w:rsidR="00C94C15" w:rsidRDefault="00C94C15" w:rsidP="00C94C15">
      <w:pPr>
        <w:pStyle w:val="NIndent"/>
      </w:pPr>
      <w:r>
        <w:t xml:space="preserve">Our submission points and </w:t>
      </w:r>
      <w:r w:rsidR="00802FF5">
        <w:t xml:space="preserve">the </w:t>
      </w:r>
      <w:r>
        <w:t xml:space="preserve">relief sought are outlined in the following sections. </w:t>
      </w:r>
    </w:p>
    <w:p w14:paraId="37A147CF" w14:textId="77777777" w:rsidR="00C94C15" w:rsidRDefault="00C94C15" w:rsidP="00C94C15">
      <w:pPr>
        <w:pStyle w:val="Heading1"/>
      </w:pPr>
      <w:r>
        <w:t>NPS-HPL and new intensive indoor primary production and greenhouses on HPL</w:t>
      </w:r>
    </w:p>
    <w:p w14:paraId="414CA039" w14:textId="75CEED6B" w:rsidR="00C94C15" w:rsidRDefault="00C94C15" w:rsidP="00C94C15">
      <w:pPr>
        <w:pStyle w:val="NIndent"/>
        <w:spacing w:line="240" w:lineRule="auto"/>
        <w:rPr>
          <w:i/>
          <w:iCs/>
        </w:rPr>
      </w:pPr>
      <w:r>
        <w:t xml:space="preserve">The scope of the NPS-HPL was identified in the Section 32 Officer’s report </w:t>
      </w:r>
      <w:r w:rsidRPr="26A85E35">
        <w:rPr>
          <w:i/>
          <w:iCs/>
        </w:rPr>
        <w:t xml:space="preserve">to protect HPL for land-based primary production activities reliant on the soil resource – </w:t>
      </w:r>
      <w:proofErr w:type="spellStart"/>
      <w:r w:rsidRPr="26A85E35">
        <w:rPr>
          <w:i/>
          <w:iCs/>
        </w:rPr>
        <w:t>not</w:t>
      </w:r>
      <w:proofErr w:type="spellEnd"/>
      <w:r w:rsidRPr="26A85E35">
        <w:rPr>
          <w:i/>
          <w:iCs/>
        </w:rPr>
        <w:t xml:space="preserve"> other forms of primary production with no reliance on soil resource (e.g., intensive indoor primary production)</w:t>
      </w:r>
      <w:r w:rsidRPr="26A85E35">
        <w:rPr>
          <w:rStyle w:val="FootnoteReference"/>
          <w:i/>
          <w:iCs/>
        </w:rPr>
        <w:footnoteReference w:id="2"/>
      </w:r>
      <w:r w:rsidRPr="26A85E35">
        <w:rPr>
          <w:i/>
          <w:iCs/>
        </w:rPr>
        <w:t>.</w:t>
      </w:r>
    </w:p>
    <w:p w14:paraId="33AB843F" w14:textId="15FC766F" w:rsidR="00C94C15" w:rsidRDefault="00285C20" w:rsidP="00C94C15">
      <w:pPr>
        <w:pStyle w:val="NIndent"/>
        <w:spacing w:line="240" w:lineRule="auto"/>
      </w:pPr>
      <w:r>
        <w:t>No substantial assessment was</w:t>
      </w:r>
      <w:r w:rsidR="00C94C15">
        <w:t xml:space="preserve"> undertaken </w:t>
      </w:r>
      <w:r w:rsidR="00802FF5">
        <w:t>during</w:t>
      </w:r>
      <w:r w:rsidR="00C94C15">
        <w:t xml:space="preserve"> the Section 32 Officer’s report on the effects </w:t>
      </w:r>
      <w:r w:rsidR="00802FF5">
        <w:t>of</w:t>
      </w:r>
      <w:r w:rsidR="00C94C15">
        <w:t xml:space="preserve"> intensive indoor primary production. Conversely, the Section 32 Officers report recognises the cost of locating intensive indoor primary production outside HPL areas. We agree with this statement and pay regard to the functional need for intensive indoor primary production in areas that </w:t>
      </w:r>
      <w:r w:rsidR="00802FF5">
        <w:t>future-proof</w:t>
      </w:r>
      <w:r w:rsidR="00C94C15">
        <w:t xml:space="preserve"> the industry. The industry is increasingly susceptible to rising costs associated with climate change adaptation, transportation of consumer goods, and ensuring compliance with evolving animal welfare practices. As stated in the Discussion Document, the cost of </w:t>
      </w:r>
      <w:r w:rsidR="00802FF5">
        <w:t>guaranteeing</w:t>
      </w:r>
      <w:r w:rsidR="00C94C15">
        <w:t xml:space="preserve"> resilience to the intensive farming sector means a higher reliance on HPL. </w:t>
      </w:r>
    </w:p>
    <w:p w14:paraId="55FD410C" w14:textId="77953C71" w:rsidR="00C94C15" w:rsidRDefault="00C94C15" w:rsidP="00C94C15">
      <w:pPr>
        <w:pStyle w:val="NIndent"/>
      </w:pPr>
      <w:r>
        <w:t xml:space="preserve">The National Planning Standards (NPS) has identified the General Rural Zone and Rural Production Zone as </w:t>
      </w:r>
      <w:r w:rsidR="00802FF5">
        <w:t>intensive indoor primary production areas</w:t>
      </w:r>
      <w:r>
        <w:t>. The NPS defines primary production as:</w:t>
      </w:r>
    </w:p>
    <w:p w14:paraId="6FB5533B" w14:textId="77777777" w:rsidR="00C94C15" w:rsidRDefault="00C94C15" w:rsidP="00C94C15">
      <w:pPr>
        <w:pStyle w:val="NIndent"/>
        <w:ind w:firstLine="720"/>
        <w:rPr>
          <w:i/>
          <w:iCs/>
        </w:rPr>
      </w:pPr>
      <w:r w:rsidRPr="26A85E35">
        <w:rPr>
          <w:i/>
          <w:iCs/>
        </w:rPr>
        <w:t xml:space="preserve">(a) any aquaculture, agricultural, pastoral, horticultural, mining, </w:t>
      </w:r>
      <w:r>
        <w:tab/>
      </w:r>
      <w:r>
        <w:tab/>
      </w:r>
      <w:r>
        <w:tab/>
      </w:r>
      <w:r w:rsidRPr="26A85E35">
        <w:rPr>
          <w:i/>
          <w:iCs/>
        </w:rPr>
        <w:t xml:space="preserve">quarrying or forestry activities; and </w:t>
      </w:r>
    </w:p>
    <w:p w14:paraId="1A46F187" w14:textId="77777777" w:rsidR="00C94C15" w:rsidRDefault="00C94C15" w:rsidP="00C94C15">
      <w:pPr>
        <w:pStyle w:val="NIndent"/>
        <w:ind w:firstLine="720"/>
        <w:rPr>
          <w:i/>
          <w:iCs/>
        </w:rPr>
      </w:pPr>
      <w:r w:rsidRPr="26A85E35">
        <w:rPr>
          <w:i/>
          <w:iCs/>
        </w:rPr>
        <w:t xml:space="preserve">(b) includes initial processing, as an ancillary activity, of </w:t>
      </w:r>
      <w:r>
        <w:tab/>
      </w:r>
      <w:r>
        <w:tab/>
      </w:r>
      <w:r>
        <w:tab/>
      </w:r>
      <w:r>
        <w:tab/>
      </w:r>
      <w:r w:rsidRPr="26A85E35">
        <w:rPr>
          <w:i/>
          <w:iCs/>
        </w:rPr>
        <w:t xml:space="preserve">commodities that result from the listed activities in a); </w:t>
      </w:r>
    </w:p>
    <w:p w14:paraId="2EAC7B85" w14:textId="64ADA5F3" w:rsidR="00C94C15" w:rsidRDefault="00C94C15" w:rsidP="00C94C15">
      <w:pPr>
        <w:pStyle w:val="NIndent"/>
        <w:ind w:firstLine="720"/>
        <w:rPr>
          <w:i/>
          <w:iCs/>
        </w:rPr>
      </w:pPr>
      <w:r w:rsidRPr="26A85E35">
        <w:rPr>
          <w:i/>
          <w:iCs/>
        </w:rPr>
        <w:t xml:space="preserve">(c) includes any land and buildings used </w:t>
      </w:r>
      <w:r w:rsidR="00285C20">
        <w:rPr>
          <w:i/>
          <w:iCs/>
        </w:rPr>
        <w:t xml:space="preserve">for the production of </w:t>
      </w:r>
      <w:r w:rsidR="00285C20" w:rsidRPr="26A85E35">
        <w:rPr>
          <w:i/>
          <w:iCs/>
        </w:rPr>
        <w:t>the</w:t>
      </w:r>
      <w:r w:rsidRPr="26A85E35">
        <w:rPr>
          <w:i/>
          <w:iCs/>
        </w:rPr>
        <w:t xml:space="preserve"> </w:t>
      </w:r>
      <w:r>
        <w:tab/>
      </w:r>
      <w:r>
        <w:tab/>
      </w:r>
      <w:r w:rsidRPr="26A85E35">
        <w:rPr>
          <w:i/>
          <w:iCs/>
        </w:rPr>
        <w:t xml:space="preserve">commodities from a) and used for the initial processing of the </w:t>
      </w:r>
      <w:r>
        <w:tab/>
      </w:r>
      <w:r>
        <w:tab/>
      </w:r>
      <w:r>
        <w:tab/>
      </w:r>
      <w:r w:rsidRPr="26A85E35">
        <w:rPr>
          <w:i/>
          <w:iCs/>
        </w:rPr>
        <w:t xml:space="preserve">commodities in b) but </w:t>
      </w:r>
    </w:p>
    <w:p w14:paraId="2A0B6EFD" w14:textId="77777777" w:rsidR="00C94C15" w:rsidRDefault="00C94C15" w:rsidP="00C94C15">
      <w:pPr>
        <w:pStyle w:val="NIndent"/>
        <w:ind w:firstLine="720"/>
        <w:rPr>
          <w:i/>
          <w:iCs/>
        </w:rPr>
      </w:pPr>
      <w:r w:rsidRPr="26A85E35">
        <w:rPr>
          <w:i/>
          <w:iCs/>
        </w:rPr>
        <w:t xml:space="preserve">(d) excludes further processing of those commodities into a </w:t>
      </w:r>
      <w:r>
        <w:tab/>
      </w:r>
      <w:r>
        <w:tab/>
      </w:r>
      <w:r>
        <w:tab/>
      </w:r>
      <w:r w:rsidRPr="26A85E35">
        <w:rPr>
          <w:i/>
          <w:iCs/>
        </w:rPr>
        <w:t>different product.</w:t>
      </w:r>
    </w:p>
    <w:p w14:paraId="13ADB94D" w14:textId="77777777" w:rsidR="00C94C15" w:rsidRDefault="00C94C15" w:rsidP="00C94C15">
      <w:pPr>
        <w:pStyle w:val="NIndent"/>
      </w:pPr>
      <w:r w:rsidRPr="26A85E35">
        <w:t>Further, the NPS defines intensive indoor primary production as:</w:t>
      </w:r>
    </w:p>
    <w:p w14:paraId="0AAA8D34" w14:textId="59D74FD9" w:rsidR="00C94C15" w:rsidRDefault="00802FF5" w:rsidP="00D21364">
      <w:pPr>
        <w:pStyle w:val="NIndent"/>
        <w:ind w:left="1287"/>
        <w:rPr>
          <w:i/>
          <w:iCs/>
        </w:rPr>
      </w:pPr>
      <w:r>
        <w:rPr>
          <w:i/>
          <w:iCs/>
          <w:u w:val="single"/>
        </w:rPr>
        <w:t>Primary</w:t>
      </w:r>
      <w:r w:rsidR="00C94C15" w:rsidRPr="26A85E35">
        <w:rPr>
          <w:i/>
          <w:iCs/>
          <w:u w:val="single"/>
        </w:rPr>
        <w:t xml:space="preserve"> production</w:t>
      </w:r>
      <w:r w:rsidR="00C94C15" w:rsidRPr="26A85E35">
        <w:rPr>
          <w:i/>
          <w:iCs/>
        </w:rPr>
        <w:t xml:space="preserve"> activities within buildings</w:t>
      </w:r>
      <w:r>
        <w:rPr>
          <w:i/>
          <w:iCs/>
        </w:rPr>
        <w:t xml:space="preserve"> involve growing fungi, </w:t>
      </w:r>
      <w:r w:rsidR="00285C20">
        <w:rPr>
          <w:i/>
          <w:iCs/>
        </w:rPr>
        <w:t>keeping</w:t>
      </w:r>
      <w:r>
        <w:rPr>
          <w:i/>
          <w:iCs/>
        </w:rPr>
        <w:t xml:space="preserve"> or rearing livestock (excluding calf-rearing for a specified time),</w:t>
      </w:r>
      <w:r w:rsidR="00C94C15" w:rsidRPr="26A85E35">
        <w:rPr>
          <w:i/>
          <w:iCs/>
        </w:rPr>
        <w:t xml:space="preserve"> or poultry.</w:t>
      </w:r>
    </w:p>
    <w:p w14:paraId="4BF7A948" w14:textId="3F93DE4C" w:rsidR="00C94C15" w:rsidRDefault="00C94C15" w:rsidP="00C94C15">
      <w:pPr>
        <w:pStyle w:val="NIndent"/>
      </w:pPr>
      <w:r>
        <w:lastRenderedPageBreak/>
        <w:t xml:space="preserve">Rather than adopt the approach of the NPS, the NPS-HPL introduces a new definition of </w:t>
      </w:r>
      <w:r w:rsidRPr="26A85E35">
        <w:rPr>
          <w:i/>
          <w:iCs/>
        </w:rPr>
        <w:t xml:space="preserve">land-based primary production </w:t>
      </w:r>
      <w:r w:rsidRPr="26A85E35">
        <w:t>that does not recognise the need for intensive indoor primary production to establish on HPL</w:t>
      </w:r>
      <w:r w:rsidR="00802FF5">
        <w:t>,</w:t>
      </w:r>
      <w:r w:rsidRPr="26A85E35">
        <w:t xml:space="preserve"> particularly in districts that comprise </w:t>
      </w:r>
      <w:r w:rsidR="00802FF5">
        <w:t>mainly</w:t>
      </w:r>
      <w:r w:rsidRPr="26A85E35">
        <w:t xml:space="preserve"> HPL. </w:t>
      </w:r>
      <w:r>
        <w:t>The NPS-HPL defines land-based primary production as:</w:t>
      </w:r>
    </w:p>
    <w:p w14:paraId="7725FB21" w14:textId="59732933" w:rsidR="00C94C15" w:rsidRDefault="00802FF5" w:rsidP="00D21364">
      <w:pPr>
        <w:pStyle w:val="NIndent"/>
        <w:ind w:left="1287"/>
        <w:rPr>
          <w:i/>
          <w:iCs/>
        </w:rPr>
      </w:pPr>
      <w:r>
        <w:rPr>
          <w:i/>
          <w:iCs/>
        </w:rPr>
        <w:t>Land-based</w:t>
      </w:r>
      <w:r w:rsidR="00C94C15" w:rsidRPr="26A85E35">
        <w:rPr>
          <w:i/>
          <w:iCs/>
        </w:rPr>
        <w:t xml:space="preserve"> primary production means production from agricultural,</w:t>
      </w:r>
      <w:r w:rsidR="00D21364">
        <w:rPr>
          <w:i/>
          <w:iCs/>
        </w:rPr>
        <w:t xml:space="preserve"> </w:t>
      </w:r>
      <w:r w:rsidR="00C94C15" w:rsidRPr="26A85E35">
        <w:rPr>
          <w:i/>
          <w:iCs/>
        </w:rPr>
        <w:t xml:space="preserve">pastoral, horticultural, or forestry activities that </w:t>
      </w:r>
      <w:r>
        <w:rPr>
          <w:i/>
          <w:iCs/>
        </w:rPr>
        <w:t>rely on the land's</w:t>
      </w:r>
      <w:r w:rsidR="00D21364">
        <w:rPr>
          <w:i/>
          <w:iCs/>
        </w:rPr>
        <w:t xml:space="preserve"> </w:t>
      </w:r>
      <w:r>
        <w:rPr>
          <w:i/>
          <w:iCs/>
        </w:rPr>
        <w:t>soil resource</w:t>
      </w:r>
      <w:r w:rsidR="00C94C15" w:rsidRPr="26A85E35">
        <w:rPr>
          <w:i/>
          <w:iCs/>
        </w:rPr>
        <w:t>.</w:t>
      </w:r>
    </w:p>
    <w:p w14:paraId="0720283D" w14:textId="49FF46E3" w:rsidR="00C94C15" w:rsidRDefault="00C94C15" w:rsidP="00C94C15">
      <w:pPr>
        <w:pStyle w:val="NIndent"/>
      </w:pPr>
      <w:r w:rsidRPr="26A85E35">
        <w:t xml:space="preserve">I consider it appropriate to ensure the NPS-HPL </w:t>
      </w:r>
      <w:r w:rsidR="00802FF5">
        <w:t xml:space="preserve">reflects the NPS, which provides a </w:t>
      </w:r>
      <w:r w:rsidRPr="26A85E35">
        <w:t xml:space="preserve">clear directive for intensive indoor primary production to be in Rural Zone areas where soils may meet the definition of HPL. </w:t>
      </w:r>
    </w:p>
    <w:p w14:paraId="77B45A63" w14:textId="77777777" w:rsidR="00C94C15" w:rsidRDefault="00C94C15" w:rsidP="00C94C15">
      <w:pPr>
        <w:pStyle w:val="Heading1"/>
        <w:rPr>
          <w:rFonts w:ascii="Gotham Bold" w:hAnsi="Gotham Bold"/>
        </w:rPr>
      </w:pPr>
      <w:r>
        <w:t>How the NPS-HPL may be restricting activities that may have a functional or operational need to be located on HPL</w:t>
      </w:r>
    </w:p>
    <w:p w14:paraId="5CFC8AF0" w14:textId="77777777" w:rsidR="00C94C15" w:rsidRDefault="00C94C15" w:rsidP="00C94C15">
      <w:pPr>
        <w:pStyle w:val="NIndent"/>
      </w:pPr>
      <w:r>
        <w:t>The NPS-HPL Section 32a evaluation report states that the core resource management issue the NPS-HPL seeks to address is the “</w:t>
      </w:r>
      <w:r w:rsidRPr="52D61DB6">
        <w:rPr>
          <w:i/>
          <w:iCs/>
        </w:rPr>
        <w:t>ongoing, incremental loss of HPL, primarily from urban rezoning and land fragmentation arising from rural lifestyle development</w:t>
      </w:r>
      <w:r>
        <w:t xml:space="preserve">”. </w:t>
      </w:r>
    </w:p>
    <w:p w14:paraId="5F6B0682" w14:textId="03B2A9CC" w:rsidR="00C94C15" w:rsidRDefault="00802FF5" w:rsidP="00C94C15">
      <w:pPr>
        <w:pStyle w:val="NIndent"/>
      </w:pPr>
      <w:r>
        <w:t>The NPS-HPL intended</w:t>
      </w:r>
      <w:r w:rsidR="00C94C15">
        <w:t xml:space="preserve"> to provide a consenting pathway for activities that are not land-based primary production</w:t>
      </w:r>
      <w:r>
        <w:t>. It</w:t>
      </w:r>
      <w:r w:rsidR="00C94C15">
        <w:t xml:space="preserve"> has included requirements for landowners seeking to use their HPL for a use other than land-based primary production. Landowners </w:t>
      </w:r>
      <w:r>
        <w:t>must</w:t>
      </w:r>
      <w:r w:rsidR="00C94C15">
        <w:t xml:space="preserve"> demonstrate that land-based primary production on the land is not ‘economically viable’ in the long term (for at least 30 years). </w:t>
      </w:r>
    </w:p>
    <w:p w14:paraId="27E58398" w14:textId="48B5F204" w:rsidR="00C94C15" w:rsidRPr="00C70139" w:rsidRDefault="00C94C15" w:rsidP="00C94C15">
      <w:pPr>
        <w:pStyle w:val="NIndent"/>
      </w:pPr>
      <w:r>
        <w:t xml:space="preserve">The NPS-HPL </w:t>
      </w:r>
      <w:r w:rsidR="00802FF5">
        <w:t>assumes that intensive farming has little to no reliance on</w:t>
      </w:r>
      <w:r>
        <w:t xml:space="preserve"> HPL soils. In recent years</w:t>
      </w:r>
      <w:r w:rsidR="00802FF5">
        <w:t>,</w:t>
      </w:r>
      <w:r>
        <w:t xml:space="preserve"> the poultry industry has </w:t>
      </w:r>
      <w:r w:rsidR="00802FF5">
        <w:t>significantly shifted</w:t>
      </w:r>
      <w:r>
        <w:t xml:space="preserve"> from sole indoor production to a combination of indoor and outdoor production. This is evident with laying hens, who are required to be provided with access to outdoor areas. In turn, this creates a reliance on HPL to ensure </w:t>
      </w:r>
      <w:r w:rsidR="00802FF5">
        <w:t xml:space="preserve">the </w:t>
      </w:r>
      <w:r>
        <w:t xml:space="preserve">versatility and viability of outdoor areas. </w:t>
      </w:r>
    </w:p>
    <w:p w14:paraId="2AF613F2" w14:textId="2EC1CD4D" w:rsidR="00C94C15" w:rsidRDefault="00C94C15" w:rsidP="00C94C15">
      <w:pPr>
        <w:pStyle w:val="NIndent"/>
        <w:rPr>
          <w:i/>
          <w:iCs/>
        </w:rPr>
      </w:pPr>
      <w:r>
        <w:t xml:space="preserve">Further to the above point, the Regulatory Impact Statement prepared by </w:t>
      </w:r>
      <w:proofErr w:type="spellStart"/>
      <w:r>
        <w:t>MfE</w:t>
      </w:r>
      <w:proofErr w:type="spellEnd"/>
      <w:r>
        <w:t xml:space="preserve"> states the following </w:t>
      </w:r>
      <w:r w:rsidR="00802FF5">
        <w:t>about</w:t>
      </w:r>
      <w:r>
        <w:t xml:space="preserve"> the benefits of establishing intensive indoor primary production:</w:t>
      </w:r>
    </w:p>
    <w:p w14:paraId="3D67E775" w14:textId="0EB788E9" w:rsidR="00C94C15" w:rsidRPr="006A7275" w:rsidRDefault="006A7275" w:rsidP="006A7275">
      <w:pPr>
        <w:pStyle w:val="ListParagraph"/>
        <w:numPr>
          <w:ilvl w:val="0"/>
          <w:numId w:val="7"/>
        </w:numPr>
        <w:spacing w:before="0" w:after="0" w:line="240" w:lineRule="auto"/>
        <w:contextualSpacing w:val="0"/>
        <w:rPr>
          <w:rFonts w:eastAsia="Times New Roman"/>
        </w:rPr>
      </w:pPr>
      <w:r>
        <w:rPr>
          <w:rFonts w:eastAsia="Times New Roman"/>
          <w:i/>
          <w:iCs/>
        </w:rPr>
        <w:t>All the raw poultry that New Zealanders consume is produced and processed in Aotearoa. In 2020, over 200,000 metric tonnes of chicken produced were for the domestic market.</w:t>
      </w:r>
      <w:r w:rsidR="00C94C15" w:rsidRPr="006A7275">
        <w:rPr>
          <w:i/>
          <w:iCs/>
        </w:rPr>
        <w:t xml:space="preserve"> </w:t>
      </w:r>
    </w:p>
    <w:p w14:paraId="5627445A" w14:textId="18133E38" w:rsidR="00C94C15" w:rsidRDefault="00C94C15" w:rsidP="00C94C15">
      <w:pPr>
        <w:pStyle w:val="NIndent"/>
        <w:numPr>
          <w:ilvl w:val="0"/>
          <w:numId w:val="7"/>
        </w:numPr>
        <w:rPr>
          <w:i/>
          <w:iCs/>
        </w:rPr>
      </w:pPr>
      <w:r w:rsidRPr="26A85E35">
        <w:rPr>
          <w:i/>
          <w:iCs/>
        </w:rPr>
        <w:t xml:space="preserve">The relative affordability has led to chicken being the most popular animal meat protein in New Zealand, accounting for 55% of animal meat consumption. </w:t>
      </w:r>
    </w:p>
    <w:p w14:paraId="3B760A29" w14:textId="2DEC61DB" w:rsidR="00C94C15" w:rsidRDefault="00C94C15" w:rsidP="00C94C15">
      <w:pPr>
        <w:pStyle w:val="NIndent"/>
        <w:numPr>
          <w:ilvl w:val="0"/>
          <w:numId w:val="7"/>
        </w:numPr>
        <w:rPr>
          <w:i/>
          <w:iCs/>
        </w:rPr>
      </w:pPr>
      <w:r w:rsidRPr="26A85E35">
        <w:rPr>
          <w:i/>
          <w:iCs/>
        </w:rPr>
        <w:t>New Zealand is essentially self-reliant on domestically produced and processed poultry</w:t>
      </w:r>
      <w:r w:rsidR="00802FF5">
        <w:rPr>
          <w:i/>
          <w:iCs/>
        </w:rPr>
        <w:t>; this</w:t>
      </w:r>
      <w:r w:rsidRPr="26A85E35">
        <w:rPr>
          <w:i/>
          <w:iCs/>
        </w:rPr>
        <w:t xml:space="preserve"> could mean that the NPS-HPL could become a barrier for a vital </w:t>
      </w:r>
      <w:r w:rsidR="00802FF5">
        <w:rPr>
          <w:i/>
          <w:iCs/>
        </w:rPr>
        <w:t>food-producing</w:t>
      </w:r>
      <w:r w:rsidRPr="26A85E35">
        <w:rPr>
          <w:rFonts w:eastAsiaTheme="minorEastAsia"/>
          <w:i/>
          <w:iCs/>
        </w:rPr>
        <w:t xml:space="preserve"> industry to meet </w:t>
      </w:r>
      <w:r w:rsidR="00802FF5">
        <w:rPr>
          <w:rFonts w:eastAsiaTheme="minorEastAsia"/>
          <w:i/>
          <w:iCs/>
        </w:rPr>
        <w:t xml:space="preserve">the </w:t>
      </w:r>
      <w:r w:rsidRPr="26A85E35">
        <w:rPr>
          <w:rFonts w:eastAsiaTheme="minorEastAsia"/>
          <w:i/>
          <w:iCs/>
        </w:rPr>
        <w:t xml:space="preserve">food demands of New Zealanders if the industry is not able to establish new commercial scale sites on HPL. </w:t>
      </w:r>
    </w:p>
    <w:p w14:paraId="3A709C17" w14:textId="440D3A29" w:rsidR="00C94C15" w:rsidRDefault="00C94C15" w:rsidP="00C94C15">
      <w:pPr>
        <w:pStyle w:val="NIndent"/>
        <w:numPr>
          <w:ilvl w:val="0"/>
          <w:numId w:val="7"/>
        </w:numPr>
        <w:rPr>
          <w:i/>
          <w:iCs/>
        </w:rPr>
      </w:pPr>
      <w:r w:rsidRPr="26A85E35">
        <w:rPr>
          <w:i/>
          <w:iCs/>
        </w:rPr>
        <w:t>New Zealand does not import any live poultry</w:t>
      </w:r>
      <w:r w:rsidR="00802FF5">
        <w:rPr>
          <w:i/>
          <w:iCs/>
        </w:rPr>
        <w:t>; however</w:t>
      </w:r>
      <w:r w:rsidRPr="26A85E35">
        <w:rPr>
          <w:i/>
          <w:iCs/>
        </w:rPr>
        <w:t>, to improve genetics</w:t>
      </w:r>
      <w:r w:rsidR="00802FF5">
        <w:rPr>
          <w:i/>
          <w:iCs/>
        </w:rPr>
        <w:t>,</w:t>
      </w:r>
      <w:r w:rsidRPr="26A85E35">
        <w:rPr>
          <w:i/>
          <w:iCs/>
        </w:rPr>
        <w:t xml:space="preserve"> we </w:t>
      </w:r>
      <w:r w:rsidR="00802FF5">
        <w:rPr>
          <w:i/>
          <w:iCs/>
        </w:rPr>
        <w:t xml:space="preserve">import hatching eggs </w:t>
      </w:r>
      <w:r w:rsidRPr="26A85E35">
        <w:rPr>
          <w:i/>
          <w:iCs/>
        </w:rPr>
        <w:t xml:space="preserve">hatched in quarantine before being allowed into </w:t>
      </w:r>
      <w:r w:rsidR="00802FF5">
        <w:rPr>
          <w:i/>
          <w:iCs/>
        </w:rPr>
        <w:t xml:space="preserve">the </w:t>
      </w:r>
      <w:r w:rsidRPr="26A85E35">
        <w:rPr>
          <w:i/>
          <w:iCs/>
        </w:rPr>
        <w:t>breeding facility</w:t>
      </w:r>
      <w:r w:rsidR="00285C20">
        <w:rPr>
          <w:i/>
          <w:iCs/>
        </w:rPr>
        <w:t>.</w:t>
      </w:r>
    </w:p>
    <w:p w14:paraId="31DD2DE7" w14:textId="0140323C" w:rsidR="00285C20" w:rsidRDefault="00285C20" w:rsidP="00C94C15">
      <w:pPr>
        <w:pStyle w:val="NIndent"/>
        <w:numPr>
          <w:ilvl w:val="0"/>
          <w:numId w:val="7"/>
        </w:numPr>
        <w:rPr>
          <w:i/>
          <w:iCs/>
        </w:rPr>
      </w:pPr>
      <w:r>
        <w:rPr>
          <w:i/>
          <w:iCs/>
        </w:rPr>
        <w:t>All shell eggs consumed in New Zealand are produced in New Zealand. New Zealand is self-reliant on domestically produced eggs.</w:t>
      </w:r>
    </w:p>
    <w:p w14:paraId="39068458" w14:textId="4CD8C66A" w:rsidR="00285C20" w:rsidRDefault="00285C20" w:rsidP="00C94C15">
      <w:pPr>
        <w:pStyle w:val="NIndent"/>
        <w:numPr>
          <w:ilvl w:val="0"/>
          <w:numId w:val="7"/>
        </w:numPr>
        <w:rPr>
          <w:i/>
          <w:iCs/>
        </w:rPr>
      </w:pPr>
      <w:r>
        <w:rPr>
          <w:i/>
          <w:iCs/>
        </w:rPr>
        <w:lastRenderedPageBreak/>
        <w:t xml:space="preserve"> New Zealand consumers eat 236 eggs per person per year, making </w:t>
      </w:r>
      <w:proofErr w:type="spellStart"/>
      <w:r>
        <w:rPr>
          <w:i/>
          <w:iCs/>
        </w:rPr>
        <w:t>NZers</w:t>
      </w:r>
      <w:proofErr w:type="spellEnd"/>
      <w:r>
        <w:rPr>
          <w:i/>
          <w:iCs/>
        </w:rPr>
        <w:t xml:space="preserve"> amongst the world's highest eggs consumers. Eggs are one of the most cost-effective proteins produced in New Zealand</w:t>
      </w:r>
      <w:r w:rsidR="00AA2388">
        <w:rPr>
          <w:i/>
          <w:iCs/>
        </w:rPr>
        <w:t>.</w:t>
      </w:r>
    </w:p>
    <w:p w14:paraId="2FCC02C4" w14:textId="65B209AE" w:rsidR="00240F70" w:rsidRDefault="00240F70" w:rsidP="00240F70">
      <w:pPr>
        <w:pStyle w:val="NIndent"/>
      </w:pPr>
      <w:r>
        <w:t xml:space="preserve">This emphasises the importance of the domestic chicken and egg market to the New Zealand, which plays a crucial role in ensuring the country's food security. </w:t>
      </w:r>
    </w:p>
    <w:p w14:paraId="0D20E5FE" w14:textId="7CC86B5E" w:rsidR="00C94C15" w:rsidRDefault="00C94C15" w:rsidP="00C94C15">
      <w:pPr>
        <w:pStyle w:val="NIndent"/>
      </w:pPr>
      <w:r>
        <w:t xml:space="preserve">I agree with the above conclusions drawn in the Regulatory Impact Statement, </w:t>
      </w:r>
      <w:r w:rsidR="00802FF5">
        <w:t>particularly emphasising</w:t>
      </w:r>
      <w:r>
        <w:t xml:space="preserve"> the potential </w:t>
      </w:r>
      <w:r w:rsidR="00802FF5">
        <w:t>consequences</w:t>
      </w:r>
      <w:r>
        <w:t xml:space="preserve"> to New </w:t>
      </w:r>
      <w:r w:rsidR="00285C20">
        <w:t>Zealand's</w:t>
      </w:r>
      <w:r>
        <w:t xml:space="preserve"> </w:t>
      </w:r>
      <w:r w:rsidR="00285C20">
        <w:t xml:space="preserve">wider </w:t>
      </w:r>
      <w:r>
        <w:t xml:space="preserve">poultry industry </w:t>
      </w:r>
      <w:r w:rsidR="00802FF5">
        <w:t>due to</w:t>
      </w:r>
      <w:r>
        <w:t xml:space="preserve"> the barriers under the NPS-HPL. </w:t>
      </w:r>
    </w:p>
    <w:p w14:paraId="74BA502C" w14:textId="2E2E18B9" w:rsidR="00373868" w:rsidRDefault="00373868" w:rsidP="00C94C15">
      <w:pPr>
        <w:pStyle w:val="NIndent"/>
      </w:pPr>
      <w:r>
        <w:t>Free-range poultry farming</w:t>
      </w:r>
      <w:r w:rsidR="0069243C">
        <w:t xml:space="preserve"> allows for a</w:t>
      </w:r>
      <w:r w:rsidR="0069243C" w:rsidRPr="0069243C">
        <w:t>ccess to both indoor facilities and outdoor areas, typically soil or pasture.</w:t>
      </w:r>
      <w:r w:rsidR="00540C77">
        <w:t xml:space="preserve"> </w:t>
      </w:r>
      <w:r w:rsidR="00540C77" w:rsidRPr="00540C77">
        <w:t>Free-range poultry farms usually have enclosed buildings or poultry houses</w:t>
      </w:r>
      <w:r w:rsidR="00540C77">
        <w:t>, however</w:t>
      </w:r>
      <w:r w:rsidR="006F6310">
        <w:t xml:space="preserve"> provides</w:t>
      </w:r>
      <w:r w:rsidR="00540C77" w:rsidRPr="00540C77">
        <w:t xml:space="preserve"> birds access to outdoor areas, </w:t>
      </w:r>
      <w:r w:rsidR="006F6310">
        <w:t xml:space="preserve">which </w:t>
      </w:r>
      <w:r w:rsidR="00540C77" w:rsidRPr="00540C77">
        <w:t xml:space="preserve">allows them to engage in natural </w:t>
      </w:r>
      <w:r w:rsidR="006F6310" w:rsidRPr="00540C77">
        <w:t>behaviours</w:t>
      </w:r>
      <w:r w:rsidR="00540C77" w:rsidRPr="00540C77">
        <w:t xml:space="preserve"> like scratching, pecking, and foraging.</w:t>
      </w:r>
      <w:r w:rsidR="006F6310">
        <w:t xml:space="preserve"> As a result we do not envisage that free-range poultry farming would be </w:t>
      </w:r>
      <w:r w:rsidR="00F77ABC">
        <w:t xml:space="preserve">restricted by the provisions of the NPS-HPL, however </w:t>
      </w:r>
      <w:r w:rsidR="007567FC">
        <w:t xml:space="preserve">clarification of this matter would be welcomed in the guidance documents. </w:t>
      </w:r>
    </w:p>
    <w:p w14:paraId="4223E743" w14:textId="0875C2C1" w:rsidR="00C94C15" w:rsidRDefault="00802FF5" w:rsidP="00C94C15">
      <w:pPr>
        <w:pStyle w:val="NIndent"/>
      </w:pPr>
      <w:r>
        <w:t>Establishing</w:t>
      </w:r>
      <w:r w:rsidR="00C94C15">
        <w:t xml:space="preserve"> intensive indoor primary production on lower quality soils consequently results in higher transport costs, inefficient building sites (requiring extensive earthworks), cost of building, and managing onsite effects such as effluent in an inefficient manner. </w:t>
      </w:r>
    </w:p>
    <w:p w14:paraId="19202C51" w14:textId="1820A9D8" w:rsidR="0005689A" w:rsidRDefault="00753A35" w:rsidP="00C94C15">
      <w:pPr>
        <w:pStyle w:val="NIndent"/>
      </w:pPr>
      <w:r>
        <w:t>These locations are often a greater distance from urban areas than HPL</w:t>
      </w:r>
      <w:r w:rsidR="00F66CBD">
        <w:t xml:space="preserve">. Should indoor primary production be required to located outside of HPL, this may result in </w:t>
      </w:r>
      <w:r w:rsidR="00F66CBD" w:rsidRPr="00F66CBD">
        <w:t>negative implications on animal welfare associated with longer transportation duration</w:t>
      </w:r>
      <w:r w:rsidR="00F66CBD">
        <w:t xml:space="preserve"> from farms to </w:t>
      </w:r>
      <w:r w:rsidR="00C82359">
        <w:t xml:space="preserve">centres. </w:t>
      </w:r>
    </w:p>
    <w:p w14:paraId="187CE9D4" w14:textId="77777777" w:rsidR="008C0E98" w:rsidRDefault="008C0E98" w:rsidP="008C0E98">
      <w:pPr>
        <w:pStyle w:val="NIndent"/>
      </w:pPr>
      <w:r w:rsidRPr="00DB1FE4">
        <w:t>We suggest making a change in another area of the NPS-HPL, in the definition of "productive capacity" to reflect the significant protein contribution the poultry and egg industries make to the NZ's domestic food supply</w:t>
      </w:r>
      <w:r>
        <w:t xml:space="preserve">. </w:t>
      </w:r>
    </w:p>
    <w:p w14:paraId="766BD2B3" w14:textId="77777777" w:rsidR="00C94C15" w:rsidRDefault="00C94C15" w:rsidP="00C94C15">
      <w:pPr>
        <w:pStyle w:val="Heading1"/>
      </w:pPr>
      <w:r>
        <w:t xml:space="preserve">Consultation Questions </w:t>
      </w:r>
    </w:p>
    <w:p w14:paraId="217F034F" w14:textId="7A493EFD" w:rsidR="00C94C15" w:rsidRDefault="00C94C15" w:rsidP="00C94C15">
      <w:pPr>
        <w:pStyle w:val="Heading2"/>
        <w:numPr>
          <w:ilvl w:val="1"/>
          <w:numId w:val="3"/>
        </w:numPr>
      </w:pPr>
      <w:r>
        <w:t xml:space="preserve">Do you think the NPS-HPL requires an amendment to provide a consent pathway for </w:t>
      </w:r>
      <w:r w:rsidR="00802FF5">
        <w:t xml:space="preserve">developing intensive indoor primary production and greenhouses </w:t>
      </w:r>
      <w:r>
        <w:t xml:space="preserve">on HPL? Why? </w:t>
      </w:r>
    </w:p>
    <w:p w14:paraId="20AE9EEE" w14:textId="77777777" w:rsidR="00C94C15" w:rsidRDefault="00C94C15" w:rsidP="00C94C15">
      <w:pPr>
        <w:pStyle w:val="NIndent"/>
      </w:pPr>
      <w:r>
        <w:t xml:space="preserve">PIANZ </w:t>
      </w:r>
      <w:r w:rsidRPr="26A85E35">
        <w:rPr>
          <w:b/>
          <w:bCs/>
        </w:rPr>
        <w:t xml:space="preserve">supports </w:t>
      </w:r>
      <w:r>
        <w:t xml:space="preserve">an amendment to the NPS-HPL to provide a clear consenting pathway for intensive indoor primary production and greenhouses on HPL. </w:t>
      </w:r>
    </w:p>
    <w:p w14:paraId="4C2D56C3" w14:textId="77777777" w:rsidR="00370975" w:rsidRPr="00712619" w:rsidRDefault="00370975" w:rsidP="00370975">
      <w:pPr>
        <w:pStyle w:val="NIndent"/>
      </w:pPr>
      <w:r>
        <w:t xml:space="preserve">PIANZ seeks </w:t>
      </w:r>
      <w:r w:rsidRPr="26A85E35">
        <w:rPr>
          <w:b/>
          <w:bCs/>
        </w:rPr>
        <w:t>relief</w:t>
      </w:r>
      <w:r>
        <w:t xml:space="preserve"> via the definition of </w:t>
      </w:r>
      <w:r>
        <w:rPr>
          <w:b/>
          <w:bCs/>
        </w:rPr>
        <w:t>productive capacity</w:t>
      </w:r>
      <w:r>
        <w:t xml:space="preserve"> of the NPS-HPL amendment to provide a new subclause (d). See below. Recommended changes are identified in </w:t>
      </w:r>
      <w:r w:rsidRPr="26A85E35">
        <w:rPr>
          <w:color w:val="FF0000"/>
        </w:rPr>
        <w:t xml:space="preserve">red </w:t>
      </w:r>
      <w:r>
        <w:t xml:space="preserve">text and </w:t>
      </w:r>
      <w:proofErr w:type="spellStart"/>
      <w:r>
        <w:rPr>
          <w:strike/>
        </w:rPr>
        <w:t>strickethrough</w:t>
      </w:r>
      <w:proofErr w:type="spellEnd"/>
      <w:r>
        <w:t>:</w:t>
      </w:r>
    </w:p>
    <w:p w14:paraId="02664B37" w14:textId="77777777" w:rsidR="00370975" w:rsidRPr="00712619" w:rsidRDefault="00370975" w:rsidP="00370975">
      <w:pPr>
        <w:pStyle w:val="NormalWeb"/>
        <w:ind w:left="567"/>
        <w:rPr>
          <w:rFonts w:ascii="Neue Haas Grotesk Text Pro" w:eastAsiaTheme="minorHAnsi" w:hAnsi="Neue Haas Grotesk Text Pro" w:cstheme="minorBidi"/>
          <w:i/>
          <w:iCs/>
          <w:kern w:val="2"/>
          <w:sz w:val="20"/>
          <w:szCs w:val="20"/>
          <w:lang w:eastAsia="en-US"/>
          <w14:ligatures w14:val="standardContextual"/>
        </w:rPr>
      </w:pPr>
      <w:r w:rsidRPr="00712619">
        <w:rPr>
          <w:rFonts w:ascii="Neue Haas Grotesk Text Pro" w:eastAsiaTheme="minorHAnsi" w:hAnsi="Neue Haas Grotesk Text Pro" w:cstheme="minorBidi"/>
          <w:b/>
          <w:bCs/>
          <w:i/>
          <w:iCs/>
          <w:kern w:val="2"/>
          <w:sz w:val="20"/>
          <w:szCs w:val="20"/>
          <w:lang w:eastAsia="en-US"/>
          <w14:ligatures w14:val="standardContextual"/>
        </w:rPr>
        <w:t>productive capacity</w:t>
      </w:r>
      <w:r w:rsidRPr="00712619">
        <w:rPr>
          <w:rFonts w:ascii="Neue Haas Grotesk Text Pro" w:eastAsiaTheme="minorHAnsi" w:hAnsi="Neue Haas Grotesk Text Pro" w:cstheme="minorBidi"/>
          <w:i/>
          <w:iCs/>
          <w:kern w:val="2"/>
          <w:sz w:val="20"/>
          <w:szCs w:val="20"/>
          <w:lang w:eastAsia="en-US"/>
          <w14:ligatures w14:val="standardContextual"/>
        </w:rPr>
        <w:t>, in relation to land, means the ability of the land to support land-based primary production over the long term, based on an assessment of:</w:t>
      </w:r>
    </w:p>
    <w:p w14:paraId="29601E53" w14:textId="77777777" w:rsidR="00370975" w:rsidRPr="00712619" w:rsidRDefault="00370975" w:rsidP="00370975">
      <w:pPr>
        <w:pStyle w:val="NormalWeb"/>
        <w:ind w:left="567"/>
        <w:rPr>
          <w:rFonts w:ascii="Neue Haas Grotesk Text Pro" w:eastAsiaTheme="minorHAnsi" w:hAnsi="Neue Haas Grotesk Text Pro" w:cstheme="minorBidi"/>
          <w:i/>
          <w:iCs/>
          <w:kern w:val="2"/>
          <w:sz w:val="20"/>
          <w:szCs w:val="20"/>
          <w:lang w:eastAsia="en-US"/>
          <w14:ligatures w14:val="standardContextual"/>
        </w:rPr>
      </w:pPr>
      <w:r w:rsidRPr="00712619">
        <w:rPr>
          <w:rFonts w:ascii="Neue Haas Grotesk Text Pro" w:eastAsiaTheme="minorHAnsi" w:hAnsi="Neue Haas Grotesk Text Pro" w:cstheme="minorBidi"/>
          <w:i/>
          <w:iCs/>
          <w:kern w:val="2"/>
          <w:sz w:val="20"/>
          <w:szCs w:val="20"/>
          <w:lang w:eastAsia="en-US"/>
          <w14:ligatures w14:val="standardContextual"/>
        </w:rPr>
        <w:t>(a) physical characteristics (such as soil type, properties, and versatility); and</w:t>
      </w:r>
    </w:p>
    <w:p w14:paraId="67782979" w14:textId="77777777" w:rsidR="00370975" w:rsidRPr="00712619" w:rsidRDefault="00370975" w:rsidP="00370975">
      <w:pPr>
        <w:pStyle w:val="NormalWeb"/>
        <w:ind w:left="567"/>
        <w:rPr>
          <w:rFonts w:ascii="Neue Haas Grotesk Text Pro" w:eastAsiaTheme="minorHAnsi" w:hAnsi="Neue Haas Grotesk Text Pro" w:cstheme="minorBidi"/>
          <w:i/>
          <w:iCs/>
          <w:strike/>
          <w:kern w:val="2"/>
          <w:sz w:val="20"/>
          <w:szCs w:val="20"/>
          <w:lang w:eastAsia="en-US"/>
          <w14:ligatures w14:val="standardContextual"/>
        </w:rPr>
      </w:pPr>
      <w:r w:rsidRPr="00712619">
        <w:rPr>
          <w:rFonts w:ascii="Neue Haas Grotesk Text Pro" w:eastAsiaTheme="minorHAnsi" w:hAnsi="Neue Haas Grotesk Text Pro" w:cstheme="minorBidi"/>
          <w:i/>
          <w:iCs/>
          <w:kern w:val="2"/>
          <w:sz w:val="20"/>
          <w:szCs w:val="20"/>
          <w:lang w:eastAsia="en-US"/>
          <w14:ligatures w14:val="standardContextual"/>
        </w:rPr>
        <w:t xml:space="preserve">(b) legal constraints (such as consent notices, local authority covenants, and easements); </w:t>
      </w:r>
      <w:r w:rsidRPr="00712619">
        <w:rPr>
          <w:rFonts w:ascii="Neue Haas Grotesk Text Pro" w:eastAsiaTheme="minorHAnsi" w:hAnsi="Neue Haas Grotesk Text Pro" w:cstheme="minorBidi"/>
          <w:i/>
          <w:iCs/>
          <w:strike/>
          <w:kern w:val="2"/>
          <w:sz w:val="20"/>
          <w:szCs w:val="20"/>
          <w:lang w:eastAsia="en-US"/>
          <w14:ligatures w14:val="standardContextual"/>
        </w:rPr>
        <w:t>and</w:t>
      </w:r>
    </w:p>
    <w:p w14:paraId="07DBF734" w14:textId="77777777" w:rsidR="00370975" w:rsidRDefault="00370975" w:rsidP="00370975">
      <w:pPr>
        <w:pStyle w:val="NormalWeb"/>
        <w:ind w:left="567"/>
        <w:rPr>
          <w:rFonts w:ascii="Neue Haas Grotesk Text Pro" w:eastAsiaTheme="minorHAnsi" w:hAnsi="Neue Haas Grotesk Text Pro" w:cstheme="minorBidi"/>
          <w:i/>
          <w:iCs/>
          <w:color w:val="FF0000"/>
          <w:kern w:val="2"/>
          <w:sz w:val="20"/>
          <w:szCs w:val="20"/>
          <w:lang w:eastAsia="en-US"/>
          <w14:ligatures w14:val="standardContextual"/>
        </w:rPr>
      </w:pPr>
      <w:r w:rsidRPr="00712619">
        <w:rPr>
          <w:rFonts w:ascii="Neue Haas Grotesk Text Pro" w:eastAsiaTheme="minorHAnsi" w:hAnsi="Neue Haas Grotesk Text Pro" w:cstheme="minorBidi"/>
          <w:i/>
          <w:iCs/>
          <w:kern w:val="2"/>
          <w:sz w:val="20"/>
          <w:szCs w:val="20"/>
          <w:lang w:eastAsia="en-US"/>
          <w14:ligatures w14:val="standardContextual"/>
        </w:rPr>
        <w:lastRenderedPageBreak/>
        <w:t>(c) the size and shape of existing and proposed land parcels</w:t>
      </w:r>
      <w:r>
        <w:rPr>
          <w:rFonts w:ascii="Neue Haas Grotesk Text Pro" w:eastAsiaTheme="minorHAnsi" w:hAnsi="Neue Haas Grotesk Text Pro" w:cstheme="minorBidi"/>
          <w:i/>
          <w:iCs/>
          <w:color w:val="FF0000"/>
          <w:kern w:val="2"/>
          <w:sz w:val="20"/>
          <w:szCs w:val="20"/>
          <w:lang w:eastAsia="en-US"/>
          <w14:ligatures w14:val="standardContextual"/>
        </w:rPr>
        <w:t>; and</w:t>
      </w:r>
    </w:p>
    <w:p w14:paraId="1CA73D1E" w14:textId="77777777" w:rsidR="00370975" w:rsidRPr="00712619" w:rsidRDefault="00370975" w:rsidP="00370975">
      <w:pPr>
        <w:pStyle w:val="NormalWeb"/>
        <w:ind w:left="567"/>
        <w:rPr>
          <w:rFonts w:ascii="Neue Haas Grotesk Text Pro" w:eastAsiaTheme="minorHAnsi" w:hAnsi="Neue Haas Grotesk Text Pro" w:cstheme="minorBidi"/>
          <w:color w:val="FF0000"/>
          <w:kern w:val="2"/>
          <w:sz w:val="20"/>
          <w:szCs w:val="20"/>
          <w:lang w:eastAsia="en-US"/>
          <w14:ligatures w14:val="standardContextual"/>
        </w:rPr>
      </w:pPr>
      <w:r>
        <w:rPr>
          <w:rFonts w:ascii="Neue Haas Grotesk Text Pro" w:eastAsiaTheme="minorHAnsi" w:hAnsi="Neue Haas Grotesk Text Pro" w:cstheme="minorBidi"/>
          <w:i/>
          <w:iCs/>
          <w:color w:val="FF0000"/>
          <w:kern w:val="2"/>
          <w:sz w:val="20"/>
          <w:szCs w:val="20"/>
          <w:lang w:eastAsia="en-US"/>
          <w14:ligatures w14:val="standardContextual"/>
        </w:rPr>
        <w:t>(d) contribution to domestic food systems</w:t>
      </w:r>
    </w:p>
    <w:p w14:paraId="5E06AC6C" w14:textId="77777777" w:rsidR="00446749" w:rsidRDefault="00446749" w:rsidP="00C94C15">
      <w:pPr>
        <w:pStyle w:val="NIndent"/>
      </w:pPr>
    </w:p>
    <w:p w14:paraId="6613D0E6" w14:textId="34208121" w:rsidR="00C94C15" w:rsidRDefault="00C94C15" w:rsidP="00C94C15">
      <w:pPr>
        <w:pStyle w:val="NIndent"/>
      </w:pPr>
      <w:r>
        <w:t xml:space="preserve">PIANZ seeks </w:t>
      </w:r>
      <w:r w:rsidRPr="26A85E35">
        <w:rPr>
          <w:b/>
          <w:bCs/>
        </w:rPr>
        <w:t>relief</w:t>
      </w:r>
      <w:r>
        <w:t xml:space="preserve"> via </w:t>
      </w:r>
      <w:r w:rsidR="00802FF5">
        <w:t xml:space="preserve">Clause 3.9 of the NPS-HPL amendment </w:t>
      </w:r>
      <w:r>
        <w:t xml:space="preserve">to provide a new subclause (k). See below. Recommended changes to Clause 3.9(2) are identified in </w:t>
      </w:r>
      <w:r w:rsidRPr="26A85E35">
        <w:rPr>
          <w:color w:val="FF0000"/>
        </w:rPr>
        <w:t xml:space="preserve">red </w:t>
      </w:r>
      <w:r>
        <w:t>text.</w:t>
      </w:r>
    </w:p>
    <w:p w14:paraId="2141E97D" w14:textId="53DC5A33" w:rsidR="00C94C15" w:rsidRDefault="00C94C15" w:rsidP="00C94C15">
      <w:pPr>
        <w:pStyle w:val="NIndent"/>
        <w:rPr>
          <w:i/>
          <w:iCs/>
        </w:rPr>
      </w:pPr>
      <w:r w:rsidRPr="26A85E35">
        <w:rPr>
          <w:i/>
          <w:iCs/>
        </w:rPr>
        <w:t xml:space="preserve">(2) A use or development of highly productive land is inappropriate except where at least one of the following applies to the use or development and the measures in subclause (3) are applied: </w:t>
      </w:r>
    </w:p>
    <w:p w14:paraId="78A72365" w14:textId="77777777" w:rsidR="00C94C15" w:rsidRDefault="00C94C15" w:rsidP="00C94C15">
      <w:pPr>
        <w:pStyle w:val="NIndent"/>
        <w:ind w:firstLine="720"/>
        <w:rPr>
          <w:i/>
          <w:iCs/>
        </w:rPr>
      </w:pPr>
      <w:r w:rsidRPr="26A85E35">
        <w:rPr>
          <w:i/>
          <w:iCs/>
        </w:rPr>
        <w:t xml:space="preserve">(a) it provides for supporting activities on the land: </w:t>
      </w:r>
    </w:p>
    <w:p w14:paraId="3F05C25E" w14:textId="77777777" w:rsidR="00C94C15" w:rsidRDefault="00C94C15" w:rsidP="00C94C15">
      <w:pPr>
        <w:pStyle w:val="NIndent"/>
        <w:ind w:firstLine="720"/>
        <w:rPr>
          <w:i/>
          <w:iCs/>
        </w:rPr>
      </w:pPr>
      <w:r w:rsidRPr="26A85E35">
        <w:rPr>
          <w:i/>
          <w:iCs/>
        </w:rPr>
        <w:t xml:space="preserve">(b) it addresses a high risk to public health and safety: </w:t>
      </w:r>
    </w:p>
    <w:p w14:paraId="5AFE608C" w14:textId="77777777" w:rsidR="00C94C15" w:rsidRDefault="00C94C15" w:rsidP="00C94C15">
      <w:pPr>
        <w:pStyle w:val="NIndent"/>
        <w:ind w:firstLine="720"/>
        <w:rPr>
          <w:i/>
          <w:iCs/>
        </w:rPr>
      </w:pPr>
      <w:r w:rsidRPr="26A85E35">
        <w:rPr>
          <w:i/>
          <w:iCs/>
        </w:rPr>
        <w:t xml:space="preserve">(c) it is, or is for a purpose associated with, a matter of national </w:t>
      </w:r>
      <w:r>
        <w:tab/>
      </w:r>
      <w:r>
        <w:tab/>
      </w:r>
      <w:r>
        <w:tab/>
      </w:r>
      <w:r w:rsidRPr="26A85E35">
        <w:rPr>
          <w:i/>
          <w:iCs/>
        </w:rPr>
        <w:t xml:space="preserve">importance under section 6 of the Act: </w:t>
      </w:r>
    </w:p>
    <w:p w14:paraId="6BCAB0E0" w14:textId="77777777" w:rsidR="00C94C15" w:rsidRDefault="00C94C15" w:rsidP="00C94C15">
      <w:pPr>
        <w:pStyle w:val="NIndent"/>
        <w:ind w:firstLine="720"/>
        <w:rPr>
          <w:i/>
          <w:iCs/>
        </w:rPr>
      </w:pPr>
      <w:r w:rsidRPr="26A85E35">
        <w:rPr>
          <w:i/>
          <w:iCs/>
        </w:rPr>
        <w:t xml:space="preserve">(d) it is on specified Māori land: </w:t>
      </w:r>
    </w:p>
    <w:p w14:paraId="59F06F4B" w14:textId="5295765D" w:rsidR="00C94C15" w:rsidRDefault="00C94C15" w:rsidP="00C94C15">
      <w:pPr>
        <w:pStyle w:val="NIndent"/>
        <w:ind w:firstLine="720"/>
        <w:rPr>
          <w:i/>
          <w:iCs/>
        </w:rPr>
      </w:pPr>
      <w:r w:rsidRPr="26A85E35">
        <w:rPr>
          <w:i/>
          <w:iCs/>
        </w:rPr>
        <w:t xml:space="preserve">(e) it is </w:t>
      </w:r>
      <w:r w:rsidR="00802FF5">
        <w:rPr>
          <w:i/>
          <w:iCs/>
        </w:rPr>
        <w:t>to protect, maintain</w:t>
      </w:r>
      <w:r w:rsidRPr="26A85E35">
        <w:rPr>
          <w:i/>
          <w:iCs/>
        </w:rPr>
        <w:t xml:space="preserve">, </w:t>
      </w:r>
      <w:r w:rsidR="00802FF5">
        <w:rPr>
          <w:i/>
          <w:iCs/>
        </w:rPr>
        <w:t>restore</w:t>
      </w:r>
      <w:r w:rsidRPr="26A85E35">
        <w:rPr>
          <w:i/>
          <w:iCs/>
        </w:rPr>
        <w:t xml:space="preserve">, or </w:t>
      </w:r>
      <w:r>
        <w:tab/>
      </w:r>
      <w:r>
        <w:tab/>
      </w:r>
      <w:r>
        <w:tab/>
      </w:r>
      <w:r w:rsidR="00802FF5">
        <w:rPr>
          <w:i/>
          <w:iCs/>
        </w:rPr>
        <w:t>enhance</w:t>
      </w:r>
      <w:r w:rsidRPr="26A85E35">
        <w:rPr>
          <w:i/>
          <w:iCs/>
        </w:rPr>
        <w:t xml:space="preserve"> indigenous biodiversity: </w:t>
      </w:r>
    </w:p>
    <w:p w14:paraId="77EA7C11" w14:textId="5967C5F3" w:rsidR="00C94C15" w:rsidRDefault="00C94C15" w:rsidP="00C94C15">
      <w:pPr>
        <w:pStyle w:val="NIndent"/>
        <w:ind w:firstLine="720"/>
        <w:rPr>
          <w:i/>
          <w:iCs/>
        </w:rPr>
      </w:pPr>
      <w:r w:rsidRPr="26A85E35">
        <w:rPr>
          <w:i/>
          <w:iCs/>
        </w:rPr>
        <w:t xml:space="preserve">(f) it provides for the retirement of land from land-based primary </w:t>
      </w:r>
      <w:r>
        <w:tab/>
      </w:r>
      <w:r>
        <w:tab/>
      </w:r>
      <w:r>
        <w:tab/>
      </w:r>
      <w:r w:rsidRPr="26A85E35">
        <w:rPr>
          <w:i/>
          <w:iCs/>
        </w:rPr>
        <w:t xml:space="preserve">production </w:t>
      </w:r>
      <w:r w:rsidR="00802FF5">
        <w:rPr>
          <w:i/>
          <w:iCs/>
        </w:rPr>
        <w:t>to improve</w:t>
      </w:r>
      <w:r w:rsidRPr="26A85E35">
        <w:rPr>
          <w:i/>
          <w:iCs/>
        </w:rPr>
        <w:t xml:space="preserve"> water quality: </w:t>
      </w:r>
    </w:p>
    <w:p w14:paraId="79A6809F" w14:textId="77777777" w:rsidR="00C94C15" w:rsidRDefault="00C94C15" w:rsidP="00C94C15">
      <w:pPr>
        <w:pStyle w:val="NIndent"/>
        <w:ind w:firstLine="720"/>
        <w:rPr>
          <w:i/>
          <w:iCs/>
        </w:rPr>
      </w:pPr>
      <w:r w:rsidRPr="26A85E35">
        <w:rPr>
          <w:i/>
          <w:iCs/>
        </w:rPr>
        <w:t xml:space="preserve">(g) it is a small-scale or temporary land-use activity that has no </w:t>
      </w:r>
      <w:r>
        <w:tab/>
      </w:r>
      <w:r>
        <w:tab/>
      </w:r>
      <w:r>
        <w:tab/>
      </w:r>
      <w:r w:rsidRPr="26A85E35">
        <w:rPr>
          <w:i/>
          <w:iCs/>
        </w:rPr>
        <w:t xml:space="preserve">impact on the productive capacity of the land: </w:t>
      </w:r>
    </w:p>
    <w:p w14:paraId="03A15C0F" w14:textId="5ED4FA41" w:rsidR="00C94C15" w:rsidRDefault="00C94C15" w:rsidP="00C94C15">
      <w:pPr>
        <w:pStyle w:val="NIndent"/>
        <w:ind w:firstLine="720"/>
        <w:rPr>
          <w:i/>
          <w:iCs/>
        </w:rPr>
      </w:pPr>
      <w:r w:rsidRPr="26A85E35">
        <w:rPr>
          <w:i/>
          <w:iCs/>
        </w:rPr>
        <w:t xml:space="preserve">(h) it is for an activity </w:t>
      </w:r>
      <w:r w:rsidR="00802FF5">
        <w:rPr>
          <w:i/>
          <w:iCs/>
        </w:rPr>
        <w:t>that</w:t>
      </w:r>
      <w:r w:rsidRPr="26A85E35">
        <w:rPr>
          <w:i/>
          <w:iCs/>
        </w:rPr>
        <w:t xml:space="preserve"> </w:t>
      </w:r>
      <w:r w:rsidR="00802FF5">
        <w:rPr>
          <w:i/>
          <w:iCs/>
        </w:rPr>
        <w:t>requires</w:t>
      </w:r>
      <w:r w:rsidRPr="26A85E35">
        <w:rPr>
          <w:i/>
          <w:iCs/>
        </w:rPr>
        <w:t xml:space="preserve"> authority </w:t>
      </w:r>
      <w:r w:rsidR="00802FF5">
        <w:rPr>
          <w:i/>
          <w:iCs/>
        </w:rPr>
        <w:t>about</w:t>
      </w:r>
      <w:r w:rsidRPr="26A85E35">
        <w:rPr>
          <w:i/>
          <w:iCs/>
        </w:rPr>
        <w:t xml:space="preserve"> a </w:t>
      </w:r>
      <w:r>
        <w:tab/>
      </w:r>
      <w:r>
        <w:tab/>
      </w:r>
      <w:r>
        <w:tab/>
      </w:r>
      <w:r w:rsidRPr="26A85E35">
        <w:rPr>
          <w:i/>
          <w:iCs/>
        </w:rPr>
        <w:t xml:space="preserve">designation or notice of requirement under the Act: </w:t>
      </w:r>
    </w:p>
    <w:p w14:paraId="60556E82" w14:textId="77777777" w:rsidR="00C94C15" w:rsidRDefault="00C94C15" w:rsidP="00C94C15">
      <w:pPr>
        <w:pStyle w:val="NIndent"/>
        <w:ind w:firstLine="720"/>
        <w:rPr>
          <w:i/>
          <w:iCs/>
        </w:rPr>
      </w:pPr>
      <w:r w:rsidRPr="26A85E35">
        <w:rPr>
          <w:i/>
          <w:iCs/>
        </w:rPr>
        <w:t>(</w:t>
      </w:r>
      <w:proofErr w:type="spellStart"/>
      <w:r w:rsidRPr="26A85E35">
        <w:rPr>
          <w:i/>
          <w:iCs/>
        </w:rPr>
        <w:t>i</w:t>
      </w:r>
      <w:proofErr w:type="spellEnd"/>
      <w:r w:rsidRPr="26A85E35">
        <w:rPr>
          <w:i/>
          <w:iCs/>
        </w:rPr>
        <w:t xml:space="preserve">) it provides for public access: </w:t>
      </w:r>
    </w:p>
    <w:p w14:paraId="487D60DF" w14:textId="66B485E3" w:rsidR="00C94C15" w:rsidRDefault="00C94C15" w:rsidP="00C94C15">
      <w:pPr>
        <w:pStyle w:val="NIndent"/>
        <w:ind w:firstLine="720"/>
        <w:rPr>
          <w:i/>
          <w:iCs/>
        </w:rPr>
      </w:pPr>
      <w:r w:rsidRPr="26A85E35">
        <w:rPr>
          <w:i/>
          <w:iCs/>
        </w:rPr>
        <w:t xml:space="preserve">(j) it is associated with one of the following, and there is a </w:t>
      </w:r>
      <w:r>
        <w:tab/>
      </w:r>
      <w:r>
        <w:tab/>
      </w:r>
      <w:r>
        <w:tab/>
      </w:r>
      <w:r w:rsidRPr="26A85E35">
        <w:rPr>
          <w:i/>
          <w:iCs/>
        </w:rPr>
        <w:t xml:space="preserve">functional or operational need for the use or development </w:t>
      </w:r>
      <w:r w:rsidR="00802FF5">
        <w:rPr>
          <w:i/>
          <w:iCs/>
        </w:rPr>
        <w:t>of</w:t>
      </w:r>
      <w:r w:rsidRPr="26A85E35">
        <w:rPr>
          <w:i/>
          <w:iCs/>
        </w:rPr>
        <w:t xml:space="preserve"> </w:t>
      </w:r>
      <w:r>
        <w:tab/>
      </w:r>
      <w:r w:rsidRPr="26A85E35">
        <w:rPr>
          <w:i/>
          <w:iCs/>
        </w:rPr>
        <w:t xml:space="preserve">the highly productive land: </w:t>
      </w:r>
    </w:p>
    <w:p w14:paraId="0CFA1738" w14:textId="77777777" w:rsidR="00C94C15" w:rsidRDefault="00C94C15" w:rsidP="00C94C15">
      <w:pPr>
        <w:pStyle w:val="NIndent"/>
        <w:ind w:left="720" w:firstLine="720"/>
        <w:rPr>
          <w:i/>
          <w:iCs/>
        </w:rPr>
      </w:pPr>
      <w:r w:rsidRPr="26A85E35">
        <w:rPr>
          <w:i/>
          <w:iCs/>
        </w:rPr>
        <w:t>(</w:t>
      </w:r>
      <w:proofErr w:type="spellStart"/>
      <w:r w:rsidRPr="26A85E35">
        <w:rPr>
          <w:i/>
          <w:iCs/>
        </w:rPr>
        <w:t>i</w:t>
      </w:r>
      <w:proofErr w:type="spellEnd"/>
      <w:r w:rsidRPr="26A85E35">
        <w:rPr>
          <w:i/>
          <w:iCs/>
        </w:rPr>
        <w:t xml:space="preserve">) the maintenance, operation, upgrade, or expansion of </w:t>
      </w:r>
      <w:r>
        <w:tab/>
      </w:r>
      <w:r>
        <w:tab/>
      </w:r>
      <w:r w:rsidRPr="26A85E35">
        <w:rPr>
          <w:i/>
          <w:iCs/>
        </w:rPr>
        <w:t xml:space="preserve">specified infrastructure: </w:t>
      </w:r>
    </w:p>
    <w:p w14:paraId="71596867" w14:textId="77777777" w:rsidR="00C94C15" w:rsidRDefault="00C94C15" w:rsidP="00C94C15">
      <w:pPr>
        <w:pStyle w:val="NIndent"/>
        <w:ind w:left="720" w:firstLine="720"/>
        <w:rPr>
          <w:i/>
          <w:iCs/>
        </w:rPr>
      </w:pPr>
      <w:r w:rsidRPr="26A85E35">
        <w:rPr>
          <w:i/>
          <w:iCs/>
        </w:rPr>
        <w:t xml:space="preserve">(ii) the maintenance, operation, upgrade, or expansion of defence </w:t>
      </w:r>
      <w:r>
        <w:tab/>
      </w:r>
      <w:r w:rsidRPr="26A85E35">
        <w:rPr>
          <w:i/>
          <w:iCs/>
        </w:rPr>
        <w:t xml:space="preserve">facilities operated by the New Zealand Defence Force to meet its </w:t>
      </w:r>
      <w:r>
        <w:tab/>
      </w:r>
      <w:r w:rsidRPr="26A85E35">
        <w:rPr>
          <w:i/>
          <w:iCs/>
        </w:rPr>
        <w:t xml:space="preserve">obligations under the Defence Act 1990: </w:t>
      </w:r>
    </w:p>
    <w:p w14:paraId="0E0725F1" w14:textId="73BD5AF6" w:rsidR="00C94C15" w:rsidRDefault="00C94C15" w:rsidP="0075404F">
      <w:pPr>
        <w:pStyle w:val="NIndent"/>
        <w:ind w:left="1440"/>
        <w:rPr>
          <w:i/>
          <w:iCs/>
        </w:rPr>
      </w:pPr>
      <w:r w:rsidRPr="26A85E35">
        <w:rPr>
          <w:i/>
          <w:iCs/>
        </w:rPr>
        <w:t xml:space="preserve">(iii) mineral extraction that provides </w:t>
      </w:r>
      <w:r w:rsidR="00802FF5">
        <w:rPr>
          <w:i/>
          <w:iCs/>
        </w:rPr>
        <w:t xml:space="preserve">a </w:t>
      </w:r>
      <w:r w:rsidRPr="26A85E35">
        <w:rPr>
          <w:i/>
          <w:iCs/>
        </w:rPr>
        <w:t>significant national public</w:t>
      </w:r>
      <w:r w:rsidR="00802FF5">
        <w:rPr>
          <w:i/>
          <w:iCs/>
        </w:rPr>
        <w:t xml:space="preserve"> </w:t>
      </w:r>
      <w:r w:rsidRPr="26A85E35">
        <w:rPr>
          <w:i/>
          <w:iCs/>
        </w:rPr>
        <w:t>benefit that could not otherwise be achieved using resources</w:t>
      </w:r>
      <w:r w:rsidR="00802FF5">
        <w:rPr>
          <w:i/>
          <w:iCs/>
        </w:rPr>
        <w:t xml:space="preserve"> </w:t>
      </w:r>
      <w:r w:rsidRPr="26A85E35">
        <w:rPr>
          <w:i/>
          <w:iCs/>
        </w:rPr>
        <w:t>within New Zealand</w:t>
      </w:r>
      <w:r w:rsidR="00802FF5">
        <w:rPr>
          <w:i/>
          <w:iCs/>
        </w:rPr>
        <w:t>;</w:t>
      </w:r>
      <w:r w:rsidRPr="26A85E35">
        <w:rPr>
          <w:i/>
          <w:iCs/>
        </w:rPr>
        <w:t xml:space="preserve"> (iv) aggregate extraction that provides</w:t>
      </w:r>
      <w:r w:rsidR="00802FF5">
        <w:rPr>
          <w:i/>
          <w:iCs/>
        </w:rPr>
        <w:t xml:space="preserve"> a substantial</w:t>
      </w:r>
      <w:r w:rsidRPr="26A85E35">
        <w:rPr>
          <w:i/>
          <w:iCs/>
        </w:rPr>
        <w:t xml:space="preserve"> national or regional public benefit that could not</w:t>
      </w:r>
      <w:r w:rsidR="00802FF5">
        <w:rPr>
          <w:i/>
          <w:iCs/>
        </w:rPr>
        <w:t xml:space="preserve"> </w:t>
      </w:r>
      <w:r w:rsidRPr="26A85E35">
        <w:rPr>
          <w:i/>
          <w:iCs/>
        </w:rPr>
        <w:t>otherwise be achieved using resources within New Zealand.</w:t>
      </w:r>
    </w:p>
    <w:p w14:paraId="43473F08" w14:textId="77777777" w:rsidR="00C94C15" w:rsidRDefault="00C94C15" w:rsidP="00C94C15">
      <w:pPr>
        <w:pStyle w:val="NIndent"/>
        <w:ind w:firstLine="720"/>
        <w:rPr>
          <w:i/>
          <w:iCs/>
          <w:color w:val="FF0000"/>
        </w:rPr>
      </w:pPr>
      <w:r w:rsidRPr="26A85E35">
        <w:rPr>
          <w:i/>
          <w:iCs/>
          <w:color w:val="FF0000"/>
        </w:rPr>
        <w:t xml:space="preserve">(k) it provides for intensive primary production as defined in the </w:t>
      </w:r>
      <w:r>
        <w:tab/>
      </w:r>
      <w:r>
        <w:tab/>
      </w:r>
      <w:r>
        <w:tab/>
      </w:r>
      <w:r w:rsidRPr="26A85E35">
        <w:rPr>
          <w:i/>
          <w:iCs/>
          <w:color w:val="FF0000"/>
        </w:rPr>
        <w:t xml:space="preserve">National Planning Standards. </w:t>
      </w:r>
    </w:p>
    <w:p w14:paraId="1F49DD64" w14:textId="544ECA8F" w:rsidR="00C94C15" w:rsidRDefault="00C94C15" w:rsidP="00C94C15">
      <w:pPr>
        <w:pStyle w:val="Heading2"/>
      </w:pPr>
      <w:r>
        <w:lastRenderedPageBreak/>
        <w:t xml:space="preserve">What are the risks </w:t>
      </w:r>
      <w:r w:rsidR="00802FF5">
        <w:t>of</w:t>
      </w:r>
      <w:r>
        <w:t xml:space="preserve"> amending the NPS-HPL to provide intensive indoor primary production and greenhouses on HPL? </w:t>
      </w:r>
    </w:p>
    <w:p w14:paraId="6FBF03BE" w14:textId="77777777" w:rsidR="00C94C15" w:rsidRDefault="00C94C15" w:rsidP="00C94C15">
      <w:pPr>
        <w:pStyle w:val="NIndent"/>
      </w:pPr>
      <w:r>
        <w:t xml:space="preserve">The risk of providing a clear consenting pathway for intensive indoor primary production outweighs the risk of inappropriate activities establishing on HPL. </w:t>
      </w:r>
    </w:p>
    <w:p w14:paraId="0DFF75A1" w14:textId="79833E8F" w:rsidR="00C94C15" w:rsidRDefault="00C94C15" w:rsidP="00C94C15">
      <w:pPr>
        <w:pStyle w:val="NIndent"/>
        <w:rPr>
          <w:i/>
          <w:iCs/>
        </w:rPr>
      </w:pPr>
      <w:r>
        <w:t xml:space="preserve">The National Planning Standards 2019 states that General Rural Zones should be </w:t>
      </w:r>
      <w:r w:rsidR="00802FF5">
        <w:rPr>
          <w:i/>
          <w:iCs/>
        </w:rPr>
        <w:t>predominantly used</w:t>
      </w:r>
      <w:r w:rsidRPr="26A85E35">
        <w:rPr>
          <w:i/>
          <w:iCs/>
        </w:rPr>
        <w:t xml:space="preserve"> for primary production activities, </w:t>
      </w:r>
      <w:r w:rsidRPr="26A85E35">
        <w:rPr>
          <w:i/>
          <w:iCs/>
          <w:u w:val="single"/>
        </w:rPr>
        <w:t>including intensive indoor primary production</w:t>
      </w:r>
      <w:r w:rsidRPr="26A85E35">
        <w:rPr>
          <w:i/>
          <w:iCs/>
        </w:rPr>
        <w:t xml:space="preserve">. The zone may also be used for a range of activities that support primary production activities, including associated rural industry and other activities that require a rural location. </w:t>
      </w:r>
    </w:p>
    <w:p w14:paraId="1C5060A8" w14:textId="77777777" w:rsidR="00C94C15" w:rsidRDefault="00C94C15" w:rsidP="00C94C15">
      <w:pPr>
        <w:pStyle w:val="Heading2"/>
      </w:pPr>
      <w:r>
        <w:t xml:space="preserve">Do you support option 1 (retaining the status quo)? Why? </w:t>
      </w:r>
    </w:p>
    <w:p w14:paraId="5298C53A" w14:textId="2CB3BAAB" w:rsidR="00C94C15" w:rsidRDefault="00C94C15" w:rsidP="00C94C15">
      <w:pPr>
        <w:pStyle w:val="NIndent"/>
      </w:pPr>
      <w:r>
        <w:t xml:space="preserve">PIANZ </w:t>
      </w:r>
      <w:r w:rsidR="00285C20">
        <w:t xml:space="preserve">and EPFNZ </w:t>
      </w:r>
      <w:r w:rsidR="00285C20">
        <w:rPr>
          <w:b/>
          <w:bCs/>
        </w:rPr>
        <w:t>oppose</w:t>
      </w:r>
      <w:r w:rsidRPr="26A85E35">
        <w:rPr>
          <w:b/>
          <w:bCs/>
        </w:rPr>
        <w:t xml:space="preserve"> </w:t>
      </w:r>
      <w:r>
        <w:t xml:space="preserve">retaining the status quo. In the Discussion Document, both </w:t>
      </w:r>
      <w:proofErr w:type="spellStart"/>
      <w:r>
        <w:t>MfE</w:t>
      </w:r>
      <w:proofErr w:type="spellEnd"/>
      <w:r>
        <w:t xml:space="preserve"> and MPI acknowledge that there is no </w:t>
      </w:r>
      <w:r w:rsidR="00802FF5">
        <w:t>explicit</w:t>
      </w:r>
      <w:r>
        <w:t xml:space="preserve"> consent pathway, even if the activity meets the requirements of having a </w:t>
      </w:r>
      <w:r w:rsidRPr="26A85E35">
        <w:rPr>
          <w:i/>
          <w:iCs/>
        </w:rPr>
        <w:t xml:space="preserve">functional or operational need to be located on HPL. </w:t>
      </w:r>
    </w:p>
    <w:p w14:paraId="49D324C0" w14:textId="030CD529" w:rsidR="00C94C15" w:rsidRDefault="00C94C15" w:rsidP="00C94C15">
      <w:pPr>
        <w:pStyle w:val="NIndent"/>
      </w:pPr>
      <w:r w:rsidRPr="26A85E35">
        <w:t xml:space="preserve">By retaining the status quo, </w:t>
      </w:r>
      <w:proofErr w:type="spellStart"/>
      <w:r w:rsidRPr="26A85E35">
        <w:t>MfE</w:t>
      </w:r>
      <w:proofErr w:type="spellEnd"/>
      <w:r w:rsidRPr="26A85E35">
        <w:t xml:space="preserve"> and MPI acknowledge the possibility of amending the NPS-HPL in future to provide for the development or relocation of intensive indoor primary production on HPL</w:t>
      </w:r>
      <w:r w:rsidRPr="26A85E35">
        <w:rPr>
          <w:rStyle w:val="FootnoteReference"/>
        </w:rPr>
        <w:footnoteReference w:id="3"/>
      </w:r>
      <w:r w:rsidRPr="26A85E35">
        <w:t xml:space="preserve">. </w:t>
      </w:r>
      <w:r w:rsidR="00802FF5">
        <w:t>Deferring</w:t>
      </w:r>
      <w:r w:rsidRPr="26A85E35">
        <w:t xml:space="preserve"> the change restricts local authorities</w:t>
      </w:r>
      <w:r w:rsidR="00285C20">
        <w:t xml:space="preserve">, </w:t>
      </w:r>
      <w:r w:rsidRPr="26A85E35">
        <w:t xml:space="preserve">PIANZ </w:t>
      </w:r>
      <w:r w:rsidR="00285C20">
        <w:t xml:space="preserve">and the EPFNZ </w:t>
      </w:r>
      <w:r w:rsidRPr="26A85E35">
        <w:t xml:space="preserve">from having a clear, concise consenting pathway that allows the industry to continue establishing in </w:t>
      </w:r>
      <w:r w:rsidR="00802FF5">
        <w:t>functional and necessary areas</w:t>
      </w:r>
      <w:r w:rsidRPr="26A85E35">
        <w:t xml:space="preserve">.  </w:t>
      </w:r>
    </w:p>
    <w:p w14:paraId="4435BC0E" w14:textId="77777777" w:rsidR="00C94C15" w:rsidRDefault="00C94C15" w:rsidP="00C94C15">
      <w:pPr>
        <w:pStyle w:val="Heading2"/>
      </w:pPr>
      <w:r>
        <w:t xml:space="preserve">Do you support option 2 (a pathway under clause 3.9)? Why? </w:t>
      </w:r>
    </w:p>
    <w:p w14:paraId="5C7C4AE9" w14:textId="08DBA638" w:rsidR="00C94C15" w:rsidRDefault="00C94C15" w:rsidP="00C94C15">
      <w:pPr>
        <w:pStyle w:val="NIndent"/>
      </w:pPr>
      <w:r>
        <w:t xml:space="preserve">PIANZ </w:t>
      </w:r>
      <w:r w:rsidR="00285C20">
        <w:t xml:space="preserve">and EPFNZ </w:t>
      </w:r>
      <w:r w:rsidR="00285C20">
        <w:rPr>
          <w:b/>
          <w:bCs/>
        </w:rPr>
        <w:t>support</w:t>
      </w:r>
      <w:r w:rsidRPr="26A85E35">
        <w:rPr>
          <w:b/>
          <w:bCs/>
        </w:rPr>
        <w:t xml:space="preserve"> </w:t>
      </w:r>
      <w:r>
        <w:t>an amendment to the NPS-HPL to provide a clear consenting pathway for intensive indoor primary production and greenhouses on HPL. An amendment to Clause 3.6(2) is sought and addressed in Section 7.1 of this submission document.</w:t>
      </w:r>
    </w:p>
    <w:p w14:paraId="2752C714" w14:textId="77777777" w:rsidR="00C94C15" w:rsidRDefault="00C94C15" w:rsidP="00C94C15">
      <w:pPr>
        <w:pStyle w:val="Heading2"/>
      </w:pPr>
      <w:r>
        <w:t>Are there any other options we should consider?</w:t>
      </w:r>
    </w:p>
    <w:p w14:paraId="2DAC1C77" w14:textId="5B9B1B2A" w:rsidR="00C94C15" w:rsidRDefault="00C94C15" w:rsidP="00C94C15">
      <w:pPr>
        <w:pStyle w:val="NIndent"/>
      </w:pPr>
      <w:r>
        <w:t xml:space="preserve">An amendment to Clause 3.6(2) is sought and addressed in Section 7.1 </w:t>
      </w:r>
      <w:r w:rsidR="00802FF5">
        <w:t>of</w:t>
      </w:r>
      <w:r>
        <w:t xml:space="preserve"> this submission document. </w:t>
      </w:r>
    </w:p>
    <w:p w14:paraId="3ECCBEAC" w14:textId="77777777" w:rsidR="00C94C15" w:rsidRDefault="00C94C15" w:rsidP="00C94C15">
      <w:pPr>
        <w:pStyle w:val="Heading2"/>
      </w:pPr>
      <w:r>
        <w:t xml:space="preserve">RECOMMENDATION </w:t>
      </w:r>
    </w:p>
    <w:p w14:paraId="4FBBA43A" w14:textId="47890B62" w:rsidR="00C94C15" w:rsidRDefault="00C94C15" w:rsidP="00C94C15">
      <w:pPr>
        <w:pStyle w:val="NIndent"/>
      </w:pPr>
      <w:r>
        <w:t xml:space="preserve">PIANZ </w:t>
      </w:r>
      <w:r w:rsidR="00285C20">
        <w:t>and the EPFNZ seek</w:t>
      </w:r>
      <w:r>
        <w:t xml:space="preserve"> </w:t>
      </w:r>
      <w:r w:rsidR="00802FF5">
        <w:t>to amend the NPS-HPL</w:t>
      </w:r>
      <w:r>
        <w:t xml:space="preserve"> to provide a clear consenting pathway for intensive indoor primary production, as discussed in Section 7.2 of this submission. </w:t>
      </w:r>
    </w:p>
    <w:p w14:paraId="6C981371" w14:textId="77777777" w:rsidR="00C94C15" w:rsidRPr="006D6C45" w:rsidRDefault="00C94C15" w:rsidP="00C94C15"/>
    <w:p w14:paraId="3B3D5617" w14:textId="77777777" w:rsidR="00A96FC4" w:rsidRPr="00F44632" w:rsidRDefault="00A96FC4" w:rsidP="00A96FC4"/>
    <w:sectPr w:rsidR="00A96FC4" w:rsidRPr="00F44632" w:rsidSect="00BB284F">
      <w:headerReference w:type="even" r:id="rId9"/>
      <w:headerReference w:type="default" r:id="rId10"/>
      <w:footerReference w:type="even" r:id="rId11"/>
      <w:footerReference w:type="default" r:id="rId12"/>
      <w:headerReference w:type="first" r:id="rId13"/>
      <w:footerReference w:type="first" r:id="rId14"/>
      <w:pgSz w:w="11906" w:h="16838" w:code="9"/>
      <w:pgMar w:top="1191" w:right="3402" w:bottom="1361" w:left="1021" w:header="567"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54847A" w14:textId="77777777" w:rsidR="00A602C4" w:rsidRDefault="00A602C4" w:rsidP="007C74FF">
      <w:pPr>
        <w:spacing w:before="0" w:after="0"/>
      </w:pPr>
      <w:r>
        <w:separator/>
      </w:r>
    </w:p>
  </w:endnote>
  <w:endnote w:type="continuationSeparator" w:id="0">
    <w:p w14:paraId="3E0FF6A3" w14:textId="77777777" w:rsidR="00A602C4" w:rsidRDefault="00A602C4" w:rsidP="007C74F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ecilia LT Std Light">
    <w:altName w:val="Calibri"/>
    <w:panose1 w:val="00000000000000000000"/>
    <w:charset w:val="00"/>
    <w:family w:val="modern"/>
    <w:notTrueType/>
    <w:pitch w:val="variable"/>
    <w:sig w:usb0="800000AF" w:usb1="5000204A" w:usb2="00000000" w:usb3="00000000" w:csb0="00000001" w:csb1="00000000"/>
  </w:font>
  <w:font w:name="Neue Haas Grotesk Text Pro">
    <w:altName w:val="Calibri"/>
    <w:charset w:val="00"/>
    <w:family w:val="swiss"/>
    <w:pitch w:val="variable"/>
    <w:sig w:usb0="00000007" w:usb1="00000000" w:usb2="00000000" w:usb3="00000000" w:csb0="00000093" w:csb1="00000000"/>
  </w:font>
  <w:font w:name="Gotham Bold">
    <w:altName w:val="Arial"/>
    <w:charset w:val="00"/>
    <w:family w:val="auto"/>
    <w:pitch w:val="variable"/>
    <w:sig w:usb0="A10000FF" w:usb1="4000005B" w:usb2="00000000" w:usb3="00000000" w:csb0="0000019B" w:csb1="00000000"/>
  </w:font>
  <w:font w:name="Caecilia LT Std Roman">
    <w:panose1 w:val="00000000000000000000"/>
    <w:charset w:val="00"/>
    <w:family w:val="modern"/>
    <w:notTrueType/>
    <w:pitch w:val="variable"/>
    <w:sig w:usb0="800000AF" w:usb1="5000204A" w:usb2="00000000" w:usb3="00000000" w:csb0="00000001" w:csb1="00000000"/>
  </w:font>
  <w:font w:name="Gotham Book">
    <w:altName w:val="Times New Roman"/>
    <w:charset w:val="00"/>
    <w:family w:val="auto"/>
    <w:pitch w:val="variable"/>
    <w:sig w:usb0="A10000FF" w:usb1="4000005B" w:usb2="00000000" w:usb3="00000000" w:csb0="0000019B" w:csb1="00000000"/>
  </w:font>
  <w:font w:name="Tahoma">
    <w:panose1 w:val="020B0604030504040204"/>
    <w:charset w:val="00"/>
    <w:family w:val="swiss"/>
    <w:pitch w:val="variable"/>
    <w:sig w:usb0="E1002EFF" w:usb1="C000605B" w:usb2="00000029" w:usb3="00000000" w:csb0="000101FF" w:csb1="00000000"/>
  </w:font>
  <w:font w:name="Gotham Light">
    <w:charset w:val="00"/>
    <w:family w:val="auto"/>
    <w:pitch w:val="variable"/>
    <w:sig w:usb0="A10000FF" w:usb1="4000005B" w:usb2="00000000" w:usb3="00000000" w:csb0="000001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9FF97D" w14:textId="77777777" w:rsidR="00C94C15" w:rsidRDefault="00C94C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08694C" w14:textId="77777777" w:rsidR="00C94C15" w:rsidRDefault="00C94C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7F65ED" w14:textId="77777777" w:rsidR="00C94C15" w:rsidRDefault="00C94C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ECEBCD" w14:textId="77777777" w:rsidR="00A602C4" w:rsidRDefault="00A602C4" w:rsidP="007C74FF">
      <w:pPr>
        <w:spacing w:before="0" w:after="0"/>
      </w:pPr>
      <w:r>
        <w:separator/>
      </w:r>
    </w:p>
  </w:footnote>
  <w:footnote w:type="continuationSeparator" w:id="0">
    <w:p w14:paraId="4E6FCEFC" w14:textId="77777777" w:rsidR="00A602C4" w:rsidRDefault="00A602C4" w:rsidP="007C74FF">
      <w:pPr>
        <w:spacing w:before="0" w:after="0"/>
      </w:pPr>
      <w:r>
        <w:continuationSeparator/>
      </w:r>
    </w:p>
  </w:footnote>
  <w:footnote w:id="1">
    <w:p w14:paraId="12125CBD" w14:textId="77777777" w:rsidR="00C94C15" w:rsidRDefault="00C94C15" w:rsidP="00C94C15">
      <w:pPr>
        <w:pStyle w:val="FootnoteText"/>
      </w:pPr>
      <w:r w:rsidRPr="26A85E35">
        <w:rPr>
          <w:rStyle w:val="FootnoteReference"/>
        </w:rPr>
        <w:footnoteRef/>
      </w:r>
      <w:r>
        <w:t xml:space="preserve"> Page 8, </w:t>
      </w:r>
      <w:proofErr w:type="spellStart"/>
      <w:r>
        <w:t>Te</w:t>
      </w:r>
      <w:proofErr w:type="spellEnd"/>
      <w:r>
        <w:t xml:space="preserve"> </w:t>
      </w:r>
      <w:proofErr w:type="spellStart"/>
      <w:r>
        <w:t>whakahaere</w:t>
      </w:r>
      <w:proofErr w:type="spellEnd"/>
      <w:r>
        <w:t xml:space="preserve"> </w:t>
      </w:r>
      <w:proofErr w:type="spellStart"/>
      <w:r>
        <w:t>i</w:t>
      </w:r>
      <w:proofErr w:type="spellEnd"/>
      <w:r>
        <w:t xml:space="preserve"> </w:t>
      </w:r>
      <w:proofErr w:type="spellStart"/>
      <w:r>
        <w:t>te</w:t>
      </w:r>
      <w:proofErr w:type="spellEnd"/>
      <w:r>
        <w:t xml:space="preserve"> </w:t>
      </w:r>
      <w:proofErr w:type="spellStart"/>
      <w:r>
        <w:t>whakamahinga</w:t>
      </w:r>
      <w:proofErr w:type="spellEnd"/>
      <w:r>
        <w:t xml:space="preserve"> me </w:t>
      </w:r>
      <w:proofErr w:type="spellStart"/>
      <w:r>
        <w:t>te</w:t>
      </w:r>
      <w:proofErr w:type="spellEnd"/>
      <w:r>
        <w:t xml:space="preserve"> </w:t>
      </w:r>
      <w:proofErr w:type="spellStart"/>
      <w:r>
        <w:t>whanaketanga</w:t>
      </w:r>
      <w:proofErr w:type="spellEnd"/>
      <w:r>
        <w:t xml:space="preserve"> o </w:t>
      </w:r>
      <w:proofErr w:type="spellStart"/>
      <w:r>
        <w:t>ngā</w:t>
      </w:r>
      <w:proofErr w:type="spellEnd"/>
      <w:r>
        <w:t xml:space="preserve"> whenua </w:t>
      </w:r>
      <w:proofErr w:type="spellStart"/>
      <w:r>
        <w:t>whai</w:t>
      </w:r>
      <w:proofErr w:type="spellEnd"/>
      <w:r>
        <w:t xml:space="preserve"> </w:t>
      </w:r>
      <w:proofErr w:type="spellStart"/>
      <w:r>
        <w:t>hua</w:t>
      </w:r>
      <w:proofErr w:type="spellEnd"/>
      <w:r>
        <w:t xml:space="preserve"> – Managing the use and development of highly productive land. </w:t>
      </w:r>
      <w:proofErr w:type="spellStart"/>
      <w:r>
        <w:t>POtential</w:t>
      </w:r>
      <w:proofErr w:type="spellEnd"/>
      <w:r>
        <w:t xml:space="preserve"> amendments to the NPS-HPL: Discussion document.</w:t>
      </w:r>
    </w:p>
  </w:footnote>
  <w:footnote w:id="2">
    <w:p w14:paraId="657C8730" w14:textId="77777777" w:rsidR="00C94C15" w:rsidRDefault="00C94C15" w:rsidP="00C94C15">
      <w:pPr>
        <w:pStyle w:val="FootnoteText"/>
      </w:pPr>
      <w:r>
        <w:rPr>
          <w:rStyle w:val="FootnoteReference"/>
        </w:rPr>
        <w:footnoteRef/>
      </w:r>
      <w:r>
        <w:t xml:space="preserve"> Page 31, Section 32 a report </w:t>
      </w:r>
    </w:p>
  </w:footnote>
  <w:footnote w:id="3">
    <w:p w14:paraId="47353CA1" w14:textId="77777777" w:rsidR="00C94C15" w:rsidRDefault="00C94C15" w:rsidP="00C94C15">
      <w:pPr>
        <w:pStyle w:val="FootnoteText"/>
      </w:pPr>
      <w:r w:rsidRPr="26A85E35">
        <w:rPr>
          <w:rStyle w:val="FootnoteReference"/>
        </w:rPr>
        <w:footnoteRef/>
      </w:r>
      <w:r>
        <w:t xml:space="preserve"> Page 17, Discussion Document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C47B12" w14:textId="77777777" w:rsidR="00C94C15" w:rsidRDefault="00C94C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7D76A" w14:textId="25EB26AC" w:rsidR="00C94C15" w:rsidRDefault="00C94C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6FE392" w14:textId="77777777" w:rsidR="00C94C15" w:rsidRDefault="00C94C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532CE9"/>
    <w:multiLevelType w:val="hybridMultilevel"/>
    <w:tmpl w:val="5232BAF4"/>
    <w:lvl w:ilvl="0" w:tplc="BE38040E">
      <w:start w:val="1"/>
      <w:numFmt w:val="bullet"/>
      <w:lvlText w:val=""/>
      <w:lvlJc w:val="left"/>
      <w:pPr>
        <w:ind w:left="720" w:hanging="360"/>
      </w:pPr>
      <w:rPr>
        <w:rFonts w:ascii="Symbol" w:hAnsi="Symbol" w:hint="default"/>
      </w:rPr>
    </w:lvl>
    <w:lvl w:ilvl="1" w:tplc="ECE8283A">
      <w:start w:val="1"/>
      <w:numFmt w:val="bullet"/>
      <w:lvlText w:val="o"/>
      <w:lvlJc w:val="left"/>
      <w:pPr>
        <w:ind w:left="1440" w:hanging="360"/>
      </w:pPr>
      <w:rPr>
        <w:rFonts w:ascii="Courier New" w:hAnsi="Courier New" w:hint="default"/>
      </w:rPr>
    </w:lvl>
    <w:lvl w:ilvl="2" w:tplc="C4769232">
      <w:start w:val="1"/>
      <w:numFmt w:val="bullet"/>
      <w:lvlText w:val=""/>
      <w:lvlJc w:val="left"/>
      <w:pPr>
        <w:ind w:left="2160" w:hanging="360"/>
      </w:pPr>
      <w:rPr>
        <w:rFonts w:ascii="Wingdings" w:hAnsi="Wingdings" w:hint="default"/>
      </w:rPr>
    </w:lvl>
    <w:lvl w:ilvl="3" w:tplc="2D1CF8E2">
      <w:start w:val="1"/>
      <w:numFmt w:val="bullet"/>
      <w:lvlText w:val=""/>
      <w:lvlJc w:val="left"/>
      <w:pPr>
        <w:ind w:left="2880" w:hanging="360"/>
      </w:pPr>
      <w:rPr>
        <w:rFonts w:ascii="Symbol" w:hAnsi="Symbol" w:hint="default"/>
      </w:rPr>
    </w:lvl>
    <w:lvl w:ilvl="4" w:tplc="C10C7FBA">
      <w:start w:val="1"/>
      <w:numFmt w:val="bullet"/>
      <w:lvlText w:val="o"/>
      <w:lvlJc w:val="left"/>
      <w:pPr>
        <w:ind w:left="3600" w:hanging="360"/>
      </w:pPr>
      <w:rPr>
        <w:rFonts w:ascii="Courier New" w:hAnsi="Courier New" w:hint="default"/>
      </w:rPr>
    </w:lvl>
    <w:lvl w:ilvl="5" w:tplc="61B27DCA">
      <w:start w:val="1"/>
      <w:numFmt w:val="bullet"/>
      <w:lvlText w:val=""/>
      <w:lvlJc w:val="left"/>
      <w:pPr>
        <w:ind w:left="4320" w:hanging="360"/>
      </w:pPr>
      <w:rPr>
        <w:rFonts w:ascii="Wingdings" w:hAnsi="Wingdings" w:hint="default"/>
      </w:rPr>
    </w:lvl>
    <w:lvl w:ilvl="6" w:tplc="3E56FE4E">
      <w:start w:val="1"/>
      <w:numFmt w:val="bullet"/>
      <w:lvlText w:val=""/>
      <w:lvlJc w:val="left"/>
      <w:pPr>
        <w:ind w:left="5040" w:hanging="360"/>
      </w:pPr>
      <w:rPr>
        <w:rFonts w:ascii="Symbol" w:hAnsi="Symbol" w:hint="default"/>
      </w:rPr>
    </w:lvl>
    <w:lvl w:ilvl="7" w:tplc="9A182DFC">
      <w:start w:val="1"/>
      <w:numFmt w:val="bullet"/>
      <w:lvlText w:val="o"/>
      <w:lvlJc w:val="left"/>
      <w:pPr>
        <w:ind w:left="5760" w:hanging="360"/>
      </w:pPr>
      <w:rPr>
        <w:rFonts w:ascii="Courier New" w:hAnsi="Courier New" w:hint="default"/>
      </w:rPr>
    </w:lvl>
    <w:lvl w:ilvl="8" w:tplc="76145ECC">
      <w:start w:val="1"/>
      <w:numFmt w:val="bullet"/>
      <w:lvlText w:val=""/>
      <w:lvlJc w:val="left"/>
      <w:pPr>
        <w:ind w:left="6480" w:hanging="360"/>
      </w:pPr>
      <w:rPr>
        <w:rFonts w:ascii="Wingdings" w:hAnsi="Wingdings" w:hint="default"/>
      </w:rPr>
    </w:lvl>
  </w:abstractNum>
  <w:abstractNum w:abstractNumId="1" w15:restartNumberingAfterBreak="0">
    <w:nsid w:val="1C302054"/>
    <w:multiLevelType w:val="hybridMultilevel"/>
    <w:tmpl w:val="D88CEF0A"/>
    <w:lvl w:ilvl="0" w:tplc="19AE8872">
      <w:start w:val="1"/>
      <w:numFmt w:val="bullet"/>
      <w:pStyle w:val="TableBullets"/>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15:restartNumberingAfterBreak="0">
    <w:nsid w:val="1F1C0456"/>
    <w:multiLevelType w:val="hybridMultilevel"/>
    <w:tmpl w:val="619E3E2C"/>
    <w:lvl w:ilvl="0" w:tplc="A6082F02">
      <w:start w:val="1"/>
      <w:numFmt w:val="decimal"/>
      <w:lvlText w:val="%1."/>
      <w:lvlJc w:val="left"/>
      <w:pPr>
        <w:ind w:left="720" w:hanging="360"/>
      </w:pPr>
    </w:lvl>
    <w:lvl w:ilvl="1" w:tplc="A50E81F2">
      <w:start w:val="1"/>
      <w:numFmt w:val="lowerLetter"/>
      <w:lvlText w:val="%2."/>
      <w:lvlJc w:val="left"/>
      <w:pPr>
        <w:ind w:left="1440" w:hanging="360"/>
      </w:pPr>
    </w:lvl>
    <w:lvl w:ilvl="2" w:tplc="B0AA145A">
      <w:start w:val="1"/>
      <w:numFmt w:val="lowerRoman"/>
      <w:lvlText w:val="%3."/>
      <w:lvlJc w:val="right"/>
      <w:pPr>
        <w:ind w:left="2160" w:hanging="180"/>
      </w:pPr>
    </w:lvl>
    <w:lvl w:ilvl="3" w:tplc="3F5E7EF8">
      <w:start w:val="1"/>
      <w:numFmt w:val="decimal"/>
      <w:lvlText w:val="%4."/>
      <w:lvlJc w:val="left"/>
      <w:pPr>
        <w:ind w:left="2880" w:hanging="360"/>
      </w:pPr>
    </w:lvl>
    <w:lvl w:ilvl="4" w:tplc="50507B7C">
      <w:start w:val="1"/>
      <w:numFmt w:val="lowerLetter"/>
      <w:lvlText w:val="%5."/>
      <w:lvlJc w:val="left"/>
      <w:pPr>
        <w:ind w:left="3600" w:hanging="360"/>
      </w:pPr>
    </w:lvl>
    <w:lvl w:ilvl="5" w:tplc="B412BE86">
      <w:start w:val="1"/>
      <w:numFmt w:val="lowerRoman"/>
      <w:lvlText w:val="%6."/>
      <w:lvlJc w:val="right"/>
      <w:pPr>
        <w:ind w:left="4320" w:hanging="180"/>
      </w:pPr>
    </w:lvl>
    <w:lvl w:ilvl="6" w:tplc="C584CABE">
      <w:start w:val="1"/>
      <w:numFmt w:val="decimal"/>
      <w:lvlText w:val="%7."/>
      <w:lvlJc w:val="left"/>
      <w:pPr>
        <w:ind w:left="5040" w:hanging="360"/>
      </w:pPr>
    </w:lvl>
    <w:lvl w:ilvl="7" w:tplc="6D0866F8">
      <w:start w:val="1"/>
      <w:numFmt w:val="lowerLetter"/>
      <w:lvlText w:val="%8."/>
      <w:lvlJc w:val="left"/>
      <w:pPr>
        <w:ind w:left="5760" w:hanging="360"/>
      </w:pPr>
    </w:lvl>
    <w:lvl w:ilvl="8" w:tplc="CCC2DD40">
      <w:start w:val="1"/>
      <w:numFmt w:val="lowerRoman"/>
      <w:lvlText w:val="%9."/>
      <w:lvlJc w:val="right"/>
      <w:pPr>
        <w:ind w:left="6480" w:hanging="180"/>
      </w:pPr>
    </w:lvl>
  </w:abstractNum>
  <w:abstractNum w:abstractNumId="3" w15:restartNumberingAfterBreak="0">
    <w:nsid w:val="2F881F08"/>
    <w:multiLevelType w:val="multilevel"/>
    <w:tmpl w:val="2174AA6E"/>
    <w:lvl w:ilvl="0">
      <w:start w:val="1"/>
      <w:numFmt w:val="decimal"/>
      <w:pStyle w:val="Heading1"/>
      <w:lvlText w:val="%1.0"/>
      <w:lvlJc w:val="left"/>
      <w:pPr>
        <w:ind w:left="567" w:hanging="567"/>
      </w:pPr>
      <w:rPr>
        <w:rFonts w:hint="default"/>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lvlText w:val="%4."/>
      <w:lvlJc w:val="left"/>
      <w:pPr>
        <w:ind w:left="1134" w:hanging="567"/>
      </w:pPr>
      <w:rPr>
        <w:rFonts w:hint="default"/>
      </w:rPr>
    </w:lvl>
    <w:lvl w:ilvl="4">
      <w:start w:val="1"/>
      <w:numFmt w:val="lowerLetter"/>
      <w:pStyle w:val="Heading5"/>
      <w:lvlText w:val="%5)"/>
      <w:lvlJc w:val="left"/>
      <w:pPr>
        <w:ind w:left="1134" w:hanging="567"/>
      </w:pPr>
      <w:rPr>
        <w:rFonts w:hint="default"/>
      </w:rPr>
    </w:lvl>
    <w:lvl w:ilvl="5">
      <w:start w:val="1"/>
      <w:numFmt w:val="bullet"/>
      <w:pStyle w:val="Heading6"/>
      <w:lvlText w:val="·"/>
      <w:lvlJc w:val="left"/>
      <w:pPr>
        <w:ind w:left="567" w:hanging="567"/>
      </w:pPr>
      <w:rPr>
        <w:rFonts w:ascii="Symbol" w:hAnsi="Symbol" w:hint="default"/>
      </w:rPr>
    </w:lvl>
    <w:lvl w:ilvl="6">
      <w:start w:val="1"/>
      <w:numFmt w:val="decimal"/>
      <w:lvlRestart w:val="0"/>
      <w:pStyle w:val="Heading7"/>
      <w:lvlText w:val="%7."/>
      <w:lvlJc w:val="left"/>
      <w:pPr>
        <w:ind w:left="567" w:hanging="567"/>
      </w:pPr>
      <w:rPr>
        <w:rFonts w:hint="default"/>
      </w:rPr>
    </w:lvl>
    <w:lvl w:ilvl="7">
      <w:start w:val="1"/>
      <w:numFmt w:val="bullet"/>
      <w:pStyle w:val="Heading8"/>
      <w:lvlText w:val="·"/>
      <w:lvlJc w:val="left"/>
      <w:pPr>
        <w:ind w:left="1134" w:hanging="567"/>
      </w:pPr>
      <w:rPr>
        <w:rFonts w:ascii="Symbol" w:hAnsi="Symbol" w:hint="default"/>
      </w:rPr>
    </w:lvl>
    <w:lvl w:ilvl="8">
      <w:start w:val="1"/>
      <w:numFmt w:val="bullet"/>
      <w:pStyle w:val="Heading9"/>
      <w:lvlText w:val="–"/>
      <w:lvlJc w:val="left"/>
      <w:pPr>
        <w:ind w:left="1418" w:hanging="284"/>
      </w:pPr>
      <w:rPr>
        <w:rFonts w:ascii="Caecilia LT Std Light" w:hAnsi="Caecilia LT Std Light" w:hint="default"/>
      </w:rPr>
    </w:lvl>
  </w:abstractNum>
  <w:abstractNum w:abstractNumId="4" w15:restartNumberingAfterBreak="0">
    <w:nsid w:val="394E11C9"/>
    <w:multiLevelType w:val="hybridMultilevel"/>
    <w:tmpl w:val="0C28B7B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4B750F32"/>
    <w:multiLevelType w:val="hybridMultilevel"/>
    <w:tmpl w:val="6B30B062"/>
    <w:lvl w:ilvl="0" w:tplc="16307BEA">
      <w:start w:val="1"/>
      <w:numFmt w:val="lowerLetter"/>
      <w:pStyle w:val="LeftAlignedBullet"/>
      <w:lvlText w:val="%1)"/>
      <w:lvlJc w:val="left"/>
      <w:pPr>
        <w:ind w:left="567" w:hanging="567"/>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 w15:restartNumberingAfterBreak="0">
    <w:nsid w:val="54557FC9"/>
    <w:multiLevelType w:val="multilevel"/>
    <w:tmpl w:val="09FC646E"/>
    <w:lvl w:ilvl="0">
      <w:start w:val="1"/>
      <w:numFmt w:val="bullet"/>
      <w:pStyle w:val="ListParagraph"/>
      <w:lvlText w:val=""/>
      <w:lvlJc w:val="left"/>
      <w:pPr>
        <w:ind w:left="284" w:hanging="284"/>
      </w:pPr>
      <w:rPr>
        <w:rFonts w:ascii="Symbol" w:hAnsi="Symbol" w:hint="default"/>
      </w:rPr>
    </w:lvl>
    <w:lvl w:ilvl="1">
      <w:start w:val="1"/>
      <w:numFmt w:val="bullet"/>
      <w:lvlText w:val="o"/>
      <w:lvlJc w:val="left"/>
      <w:pPr>
        <w:ind w:left="568" w:hanging="284"/>
      </w:pPr>
      <w:rPr>
        <w:rFonts w:ascii="Courier New" w:hAnsi="Courier New" w:cs="Courier New"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7" w15:restartNumberingAfterBreak="0">
    <w:nsid w:val="547B32C8"/>
    <w:multiLevelType w:val="hybridMultilevel"/>
    <w:tmpl w:val="EBD01F30"/>
    <w:lvl w:ilvl="0" w:tplc="F0266CA4">
      <w:start w:val="1"/>
      <w:numFmt w:val="decimal"/>
      <w:pStyle w:val="TableNumbering"/>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 w15:restartNumberingAfterBreak="0">
    <w:nsid w:val="57150DB4"/>
    <w:multiLevelType w:val="hybridMultilevel"/>
    <w:tmpl w:val="E4DAFB8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num w:numId="1" w16cid:durableId="937983590">
    <w:abstractNumId w:val="6"/>
  </w:num>
  <w:num w:numId="2" w16cid:durableId="1935939611">
    <w:abstractNumId w:val="5"/>
  </w:num>
  <w:num w:numId="3" w16cid:durableId="767891184">
    <w:abstractNumId w:val="3"/>
  </w:num>
  <w:num w:numId="4" w16cid:durableId="685406573">
    <w:abstractNumId w:val="7"/>
  </w:num>
  <w:num w:numId="5" w16cid:durableId="1935283002">
    <w:abstractNumId w:val="1"/>
  </w:num>
  <w:num w:numId="6" w16cid:durableId="1656572037">
    <w:abstractNumId w:val="3"/>
  </w:num>
  <w:num w:numId="7" w16cid:durableId="1583366308">
    <w:abstractNumId w:val="0"/>
  </w:num>
  <w:num w:numId="8" w16cid:durableId="1094671356">
    <w:abstractNumId w:val="2"/>
  </w:num>
  <w:num w:numId="9" w16cid:durableId="1526094835">
    <w:abstractNumId w:val="4"/>
  </w:num>
  <w:num w:numId="10" w16cid:durableId="1314214255">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SortMethod w:val="0000"/>
  <w:defaultTabStop w:val="720"/>
  <w:drawingGridHorizontalSpacing w:val="8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C15"/>
    <w:rsid w:val="000024A0"/>
    <w:rsid w:val="00006AD5"/>
    <w:rsid w:val="0001020E"/>
    <w:rsid w:val="00014202"/>
    <w:rsid w:val="00024E09"/>
    <w:rsid w:val="00030806"/>
    <w:rsid w:val="00032196"/>
    <w:rsid w:val="00051BC1"/>
    <w:rsid w:val="0005206E"/>
    <w:rsid w:val="000548F9"/>
    <w:rsid w:val="0005689A"/>
    <w:rsid w:val="0006612B"/>
    <w:rsid w:val="00070D46"/>
    <w:rsid w:val="00073B10"/>
    <w:rsid w:val="00077484"/>
    <w:rsid w:val="00094D6E"/>
    <w:rsid w:val="000C0BCE"/>
    <w:rsid w:val="000D2B9F"/>
    <w:rsid w:val="000D318B"/>
    <w:rsid w:val="000E0F0F"/>
    <w:rsid w:val="000E6F68"/>
    <w:rsid w:val="00120F99"/>
    <w:rsid w:val="0012418A"/>
    <w:rsid w:val="00124DED"/>
    <w:rsid w:val="00125725"/>
    <w:rsid w:val="00146EDF"/>
    <w:rsid w:val="00157BEE"/>
    <w:rsid w:val="00172E3E"/>
    <w:rsid w:val="00175390"/>
    <w:rsid w:val="00175F48"/>
    <w:rsid w:val="00180D1B"/>
    <w:rsid w:val="00180E02"/>
    <w:rsid w:val="0019048F"/>
    <w:rsid w:val="001A562F"/>
    <w:rsid w:val="001A68C0"/>
    <w:rsid w:val="001B4794"/>
    <w:rsid w:val="001C2730"/>
    <w:rsid w:val="001C52BD"/>
    <w:rsid w:val="001D3BF6"/>
    <w:rsid w:val="001D47E1"/>
    <w:rsid w:val="001E31FC"/>
    <w:rsid w:val="001E4603"/>
    <w:rsid w:val="001E4679"/>
    <w:rsid w:val="001F3AE7"/>
    <w:rsid w:val="00217889"/>
    <w:rsid w:val="002178E9"/>
    <w:rsid w:val="00220B61"/>
    <w:rsid w:val="00240F70"/>
    <w:rsid w:val="00247273"/>
    <w:rsid w:val="002510CB"/>
    <w:rsid w:val="0026269E"/>
    <w:rsid w:val="00265D30"/>
    <w:rsid w:val="00273140"/>
    <w:rsid w:val="00276488"/>
    <w:rsid w:val="00280963"/>
    <w:rsid w:val="00285C20"/>
    <w:rsid w:val="002B2B24"/>
    <w:rsid w:val="002B77C9"/>
    <w:rsid w:val="002C015C"/>
    <w:rsid w:val="002D67C2"/>
    <w:rsid w:val="002E1E5B"/>
    <w:rsid w:val="002E3C21"/>
    <w:rsid w:val="002F10B3"/>
    <w:rsid w:val="00310B4F"/>
    <w:rsid w:val="0031144C"/>
    <w:rsid w:val="00312F38"/>
    <w:rsid w:val="003140C1"/>
    <w:rsid w:val="00315617"/>
    <w:rsid w:val="003218B3"/>
    <w:rsid w:val="003266AE"/>
    <w:rsid w:val="0033435A"/>
    <w:rsid w:val="00335804"/>
    <w:rsid w:val="00361B78"/>
    <w:rsid w:val="00363351"/>
    <w:rsid w:val="00370975"/>
    <w:rsid w:val="00373868"/>
    <w:rsid w:val="0038002D"/>
    <w:rsid w:val="00382845"/>
    <w:rsid w:val="00384D54"/>
    <w:rsid w:val="00386E5B"/>
    <w:rsid w:val="00396720"/>
    <w:rsid w:val="00397AB9"/>
    <w:rsid w:val="003B023F"/>
    <w:rsid w:val="003B2DEB"/>
    <w:rsid w:val="003C45F5"/>
    <w:rsid w:val="003E08C8"/>
    <w:rsid w:val="003F5F20"/>
    <w:rsid w:val="00402FC7"/>
    <w:rsid w:val="00425BC1"/>
    <w:rsid w:val="00430545"/>
    <w:rsid w:val="00440C3F"/>
    <w:rsid w:val="00446749"/>
    <w:rsid w:val="00446C0F"/>
    <w:rsid w:val="004605B0"/>
    <w:rsid w:val="00467F5D"/>
    <w:rsid w:val="00470DC0"/>
    <w:rsid w:val="004767E1"/>
    <w:rsid w:val="0048558F"/>
    <w:rsid w:val="004870F0"/>
    <w:rsid w:val="00496A71"/>
    <w:rsid w:val="004973DE"/>
    <w:rsid w:val="004A4DE2"/>
    <w:rsid w:val="004A65B2"/>
    <w:rsid w:val="004B660B"/>
    <w:rsid w:val="004C29B0"/>
    <w:rsid w:val="004C4A84"/>
    <w:rsid w:val="004D5EB3"/>
    <w:rsid w:val="004E52DD"/>
    <w:rsid w:val="004F32AC"/>
    <w:rsid w:val="004F6EEC"/>
    <w:rsid w:val="00503BC0"/>
    <w:rsid w:val="0051234C"/>
    <w:rsid w:val="005140B6"/>
    <w:rsid w:val="00517825"/>
    <w:rsid w:val="005178A4"/>
    <w:rsid w:val="00523C36"/>
    <w:rsid w:val="00527AF7"/>
    <w:rsid w:val="00537439"/>
    <w:rsid w:val="00540C77"/>
    <w:rsid w:val="005432ED"/>
    <w:rsid w:val="00561393"/>
    <w:rsid w:val="00565F9B"/>
    <w:rsid w:val="00573D48"/>
    <w:rsid w:val="0058130E"/>
    <w:rsid w:val="00594623"/>
    <w:rsid w:val="005A5C69"/>
    <w:rsid w:val="005B634D"/>
    <w:rsid w:val="005B65F4"/>
    <w:rsid w:val="005C5AB6"/>
    <w:rsid w:val="005C6FF1"/>
    <w:rsid w:val="005D4431"/>
    <w:rsid w:val="005E09AD"/>
    <w:rsid w:val="005E19E2"/>
    <w:rsid w:val="005E3807"/>
    <w:rsid w:val="005E53BC"/>
    <w:rsid w:val="005E5D08"/>
    <w:rsid w:val="005E6352"/>
    <w:rsid w:val="005F01F0"/>
    <w:rsid w:val="006007B1"/>
    <w:rsid w:val="00605B71"/>
    <w:rsid w:val="006076A7"/>
    <w:rsid w:val="00613A7D"/>
    <w:rsid w:val="00617F1D"/>
    <w:rsid w:val="006265EC"/>
    <w:rsid w:val="00626C59"/>
    <w:rsid w:val="00634010"/>
    <w:rsid w:val="006359B7"/>
    <w:rsid w:val="0064189C"/>
    <w:rsid w:val="006420AE"/>
    <w:rsid w:val="00642C23"/>
    <w:rsid w:val="006442CD"/>
    <w:rsid w:val="00644915"/>
    <w:rsid w:val="00667DD6"/>
    <w:rsid w:val="00671339"/>
    <w:rsid w:val="0069243C"/>
    <w:rsid w:val="006A3A8B"/>
    <w:rsid w:val="006A7275"/>
    <w:rsid w:val="006B1EEF"/>
    <w:rsid w:val="006C6D8C"/>
    <w:rsid w:val="006D3C79"/>
    <w:rsid w:val="006D4AF8"/>
    <w:rsid w:val="006D513B"/>
    <w:rsid w:val="006E2B2C"/>
    <w:rsid w:val="006F2DC6"/>
    <w:rsid w:val="006F6310"/>
    <w:rsid w:val="007063FA"/>
    <w:rsid w:val="007112D0"/>
    <w:rsid w:val="0071474A"/>
    <w:rsid w:val="00723918"/>
    <w:rsid w:val="00726792"/>
    <w:rsid w:val="00731965"/>
    <w:rsid w:val="007501F8"/>
    <w:rsid w:val="00753A35"/>
    <w:rsid w:val="0075404F"/>
    <w:rsid w:val="00754AF7"/>
    <w:rsid w:val="00755698"/>
    <w:rsid w:val="007567FC"/>
    <w:rsid w:val="00764612"/>
    <w:rsid w:val="00766606"/>
    <w:rsid w:val="00766713"/>
    <w:rsid w:val="007740F7"/>
    <w:rsid w:val="0079110B"/>
    <w:rsid w:val="00796660"/>
    <w:rsid w:val="00796EDC"/>
    <w:rsid w:val="007A3DCE"/>
    <w:rsid w:val="007A4B60"/>
    <w:rsid w:val="007A50EA"/>
    <w:rsid w:val="007C231F"/>
    <w:rsid w:val="007C4003"/>
    <w:rsid w:val="007C74FF"/>
    <w:rsid w:val="007D3B83"/>
    <w:rsid w:val="007D7B43"/>
    <w:rsid w:val="007E103A"/>
    <w:rsid w:val="007E4C58"/>
    <w:rsid w:val="007F05CE"/>
    <w:rsid w:val="007F3BDC"/>
    <w:rsid w:val="00802FF5"/>
    <w:rsid w:val="008042BB"/>
    <w:rsid w:val="008052EA"/>
    <w:rsid w:val="00812DEA"/>
    <w:rsid w:val="00813A01"/>
    <w:rsid w:val="00814CAE"/>
    <w:rsid w:val="008152D3"/>
    <w:rsid w:val="00820622"/>
    <w:rsid w:val="00826D42"/>
    <w:rsid w:val="008358F4"/>
    <w:rsid w:val="00844D75"/>
    <w:rsid w:val="00850367"/>
    <w:rsid w:val="00853982"/>
    <w:rsid w:val="00873023"/>
    <w:rsid w:val="00875D5A"/>
    <w:rsid w:val="00880957"/>
    <w:rsid w:val="00883342"/>
    <w:rsid w:val="00883C15"/>
    <w:rsid w:val="00891153"/>
    <w:rsid w:val="008922C6"/>
    <w:rsid w:val="00892FB1"/>
    <w:rsid w:val="008967B0"/>
    <w:rsid w:val="008A0B6B"/>
    <w:rsid w:val="008A7F65"/>
    <w:rsid w:val="008B218C"/>
    <w:rsid w:val="008B7B2E"/>
    <w:rsid w:val="008C071B"/>
    <w:rsid w:val="008C0E98"/>
    <w:rsid w:val="008C3649"/>
    <w:rsid w:val="008C7A96"/>
    <w:rsid w:val="008D436F"/>
    <w:rsid w:val="008D459F"/>
    <w:rsid w:val="008D6C17"/>
    <w:rsid w:val="008E4F07"/>
    <w:rsid w:val="008E5804"/>
    <w:rsid w:val="008F054C"/>
    <w:rsid w:val="008F39EC"/>
    <w:rsid w:val="00903BA7"/>
    <w:rsid w:val="009079F5"/>
    <w:rsid w:val="00917801"/>
    <w:rsid w:val="00944EE6"/>
    <w:rsid w:val="0095163A"/>
    <w:rsid w:val="00952180"/>
    <w:rsid w:val="00954C69"/>
    <w:rsid w:val="00957005"/>
    <w:rsid w:val="00965EEA"/>
    <w:rsid w:val="00970DA4"/>
    <w:rsid w:val="00970FD3"/>
    <w:rsid w:val="00980F4C"/>
    <w:rsid w:val="009861FC"/>
    <w:rsid w:val="009918E1"/>
    <w:rsid w:val="00997139"/>
    <w:rsid w:val="009A1216"/>
    <w:rsid w:val="009A2F7D"/>
    <w:rsid w:val="009B615C"/>
    <w:rsid w:val="009D0B65"/>
    <w:rsid w:val="009D2928"/>
    <w:rsid w:val="009D775E"/>
    <w:rsid w:val="009F37C4"/>
    <w:rsid w:val="009F6987"/>
    <w:rsid w:val="00A03161"/>
    <w:rsid w:val="00A06FD9"/>
    <w:rsid w:val="00A1082F"/>
    <w:rsid w:val="00A152A6"/>
    <w:rsid w:val="00A16CC6"/>
    <w:rsid w:val="00A234AA"/>
    <w:rsid w:val="00A24E35"/>
    <w:rsid w:val="00A34A0D"/>
    <w:rsid w:val="00A50199"/>
    <w:rsid w:val="00A5019D"/>
    <w:rsid w:val="00A509D5"/>
    <w:rsid w:val="00A54129"/>
    <w:rsid w:val="00A602C4"/>
    <w:rsid w:val="00A71373"/>
    <w:rsid w:val="00A716A0"/>
    <w:rsid w:val="00A76418"/>
    <w:rsid w:val="00A776D6"/>
    <w:rsid w:val="00A82E27"/>
    <w:rsid w:val="00A9015D"/>
    <w:rsid w:val="00A94C7A"/>
    <w:rsid w:val="00A96FC4"/>
    <w:rsid w:val="00AA2388"/>
    <w:rsid w:val="00AA5EFD"/>
    <w:rsid w:val="00AA7B48"/>
    <w:rsid w:val="00AB2431"/>
    <w:rsid w:val="00AB2432"/>
    <w:rsid w:val="00AB7F12"/>
    <w:rsid w:val="00AC7F50"/>
    <w:rsid w:val="00AF2EFB"/>
    <w:rsid w:val="00AF6404"/>
    <w:rsid w:val="00AF6A3B"/>
    <w:rsid w:val="00B0488A"/>
    <w:rsid w:val="00B17116"/>
    <w:rsid w:val="00B260A2"/>
    <w:rsid w:val="00B30203"/>
    <w:rsid w:val="00B3725C"/>
    <w:rsid w:val="00B41689"/>
    <w:rsid w:val="00B46890"/>
    <w:rsid w:val="00B72D4A"/>
    <w:rsid w:val="00B73314"/>
    <w:rsid w:val="00B92F7B"/>
    <w:rsid w:val="00BB165F"/>
    <w:rsid w:val="00BB2545"/>
    <w:rsid w:val="00BB284F"/>
    <w:rsid w:val="00BC100F"/>
    <w:rsid w:val="00BD0F9E"/>
    <w:rsid w:val="00BE1887"/>
    <w:rsid w:val="00BF0DE4"/>
    <w:rsid w:val="00BF4947"/>
    <w:rsid w:val="00C02C38"/>
    <w:rsid w:val="00C1118F"/>
    <w:rsid w:val="00C15504"/>
    <w:rsid w:val="00C34DCB"/>
    <w:rsid w:val="00C3749D"/>
    <w:rsid w:val="00C42601"/>
    <w:rsid w:val="00C430E1"/>
    <w:rsid w:val="00C47BA1"/>
    <w:rsid w:val="00C51280"/>
    <w:rsid w:val="00C5360C"/>
    <w:rsid w:val="00C667ED"/>
    <w:rsid w:val="00C73C35"/>
    <w:rsid w:val="00C81B75"/>
    <w:rsid w:val="00C82359"/>
    <w:rsid w:val="00C939CE"/>
    <w:rsid w:val="00C94C15"/>
    <w:rsid w:val="00C9589D"/>
    <w:rsid w:val="00C96B6F"/>
    <w:rsid w:val="00CA0980"/>
    <w:rsid w:val="00CB4FE6"/>
    <w:rsid w:val="00CB6858"/>
    <w:rsid w:val="00CE1B57"/>
    <w:rsid w:val="00CE7A17"/>
    <w:rsid w:val="00CF00E1"/>
    <w:rsid w:val="00CF3689"/>
    <w:rsid w:val="00CF7448"/>
    <w:rsid w:val="00D02D69"/>
    <w:rsid w:val="00D048F3"/>
    <w:rsid w:val="00D04946"/>
    <w:rsid w:val="00D06F9F"/>
    <w:rsid w:val="00D21364"/>
    <w:rsid w:val="00D330DC"/>
    <w:rsid w:val="00D43968"/>
    <w:rsid w:val="00D43A29"/>
    <w:rsid w:val="00D44B4C"/>
    <w:rsid w:val="00D53A26"/>
    <w:rsid w:val="00D53B8E"/>
    <w:rsid w:val="00D63702"/>
    <w:rsid w:val="00D741D6"/>
    <w:rsid w:val="00D7640A"/>
    <w:rsid w:val="00D836C7"/>
    <w:rsid w:val="00DA1FAA"/>
    <w:rsid w:val="00DB1CEB"/>
    <w:rsid w:val="00DE24DF"/>
    <w:rsid w:val="00DE7C3B"/>
    <w:rsid w:val="00DF5D42"/>
    <w:rsid w:val="00DF766D"/>
    <w:rsid w:val="00DF7769"/>
    <w:rsid w:val="00E0624A"/>
    <w:rsid w:val="00E11C7D"/>
    <w:rsid w:val="00E143F7"/>
    <w:rsid w:val="00E27CD4"/>
    <w:rsid w:val="00E33B04"/>
    <w:rsid w:val="00E4677D"/>
    <w:rsid w:val="00E577F3"/>
    <w:rsid w:val="00E61FC1"/>
    <w:rsid w:val="00E664BF"/>
    <w:rsid w:val="00E74532"/>
    <w:rsid w:val="00E764EC"/>
    <w:rsid w:val="00E81837"/>
    <w:rsid w:val="00E82510"/>
    <w:rsid w:val="00E82E18"/>
    <w:rsid w:val="00E90944"/>
    <w:rsid w:val="00E926F1"/>
    <w:rsid w:val="00E94DAD"/>
    <w:rsid w:val="00EA0933"/>
    <w:rsid w:val="00EA3B52"/>
    <w:rsid w:val="00EA4EB0"/>
    <w:rsid w:val="00EB0CE7"/>
    <w:rsid w:val="00EB0E13"/>
    <w:rsid w:val="00EB75C3"/>
    <w:rsid w:val="00EC163E"/>
    <w:rsid w:val="00EC498E"/>
    <w:rsid w:val="00EC5F82"/>
    <w:rsid w:val="00ED2E0D"/>
    <w:rsid w:val="00ED78AA"/>
    <w:rsid w:val="00EE12C7"/>
    <w:rsid w:val="00EF24BB"/>
    <w:rsid w:val="00F008B2"/>
    <w:rsid w:val="00F0462C"/>
    <w:rsid w:val="00F0794D"/>
    <w:rsid w:val="00F079EA"/>
    <w:rsid w:val="00F1290E"/>
    <w:rsid w:val="00F25C77"/>
    <w:rsid w:val="00F27AC4"/>
    <w:rsid w:val="00F357A9"/>
    <w:rsid w:val="00F36433"/>
    <w:rsid w:val="00F41AFA"/>
    <w:rsid w:val="00F423AF"/>
    <w:rsid w:val="00F44632"/>
    <w:rsid w:val="00F45377"/>
    <w:rsid w:val="00F46491"/>
    <w:rsid w:val="00F53088"/>
    <w:rsid w:val="00F53487"/>
    <w:rsid w:val="00F538BE"/>
    <w:rsid w:val="00F570BE"/>
    <w:rsid w:val="00F61CE9"/>
    <w:rsid w:val="00F65C35"/>
    <w:rsid w:val="00F66CBD"/>
    <w:rsid w:val="00F67021"/>
    <w:rsid w:val="00F73AC2"/>
    <w:rsid w:val="00F77ABC"/>
    <w:rsid w:val="00F83CB0"/>
    <w:rsid w:val="00FD2508"/>
    <w:rsid w:val="00FF46D7"/>
    <w:rsid w:val="00FF756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73C808"/>
  <w15:chartTrackingRefBased/>
  <w15:docId w15:val="{6C4E68CA-3A49-470F-8E79-56F120205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unhideWhenUsed="1" w:qFormat="1"/>
    <w:lsdException w:name="heading 6" w:semiHidden="1" w:uiPriority="6" w:unhideWhenUsed="1" w:qFormat="1"/>
    <w:lsdException w:name="heading 7" w:semiHidden="1" w:uiPriority="7" w:unhideWhenUsed="1" w:qFormat="1"/>
    <w:lsdException w:name="heading 8" w:semiHidden="1" w:uiPriority="8"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8" w:qFormat="1"/>
    <w:lsdException w:name="Closing" w:semiHidden="1" w:unhideWhenUsed="1"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C15"/>
    <w:pPr>
      <w:spacing w:before="160" w:line="240" w:lineRule="atLeast"/>
    </w:pPr>
    <w:rPr>
      <w:rFonts w:ascii="Neue Haas Grotesk Text Pro" w:hAnsi="Neue Haas Grotesk Text Pro"/>
      <w:sz w:val="20"/>
      <w:szCs w:val="20"/>
    </w:rPr>
  </w:style>
  <w:style w:type="paragraph" w:styleId="Heading1">
    <w:name w:val="heading 1"/>
    <w:basedOn w:val="Normal"/>
    <w:next w:val="NIndent"/>
    <w:link w:val="Heading1Char"/>
    <w:uiPriority w:val="1"/>
    <w:qFormat/>
    <w:rsid w:val="00A152A6"/>
    <w:pPr>
      <w:keepNext/>
      <w:keepLines/>
      <w:numPr>
        <w:numId w:val="6"/>
      </w:numPr>
      <w:spacing w:before="360" w:after="220"/>
      <w:outlineLvl w:val="0"/>
    </w:pPr>
    <w:rPr>
      <w:rFonts w:asciiTheme="majorHAnsi" w:eastAsiaTheme="majorEastAsia" w:hAnsiTheme="majorHAnsi" w:cstheme="majorBidi"/>
      <w:bCs/>
      <w:caps/>
      <w:szCs w:val="36"/>
    </w:rPr>
  </w:style>
  <w:style w:type="paragraph" w:styleId="Heading2">
    <w:name w:val="heading 2"/>
    <w:basedOn w:val="Heading1"/>
    <w:next w:val="NIndent"/>
    <w:link w:val="Heading2Char"/>
    <w:uiPriority w:val="1"/>
    <w:qFormat/>
    <w:rsid w:val="007F3BDC"/>
    <w:pPr>
      <w:numPr>
        <w:ilvl w:val="1"/>
      </w:numPr>
      <w:outlineLvl w:val="1"/>
    </w:pPr>
    <w:rPr>
      <w:bCs w:val="0"/>
      <w:szCs w:val="16"/>
    </w:rPr>
  </w:style>
  <w:style w:type="paragraph" w:styleId="Heading3">
    <w:name w:val="heading 3"/>
    <w:basedOn w:val="Heading2"/>
    <w:next w:val="NIndent"/>
    <w:link w:val="Heading3Char"/>
    <w:uiPriority w:val="1"/>
    <w:qFormat/>
    <w:rsid w:val="007F3BDC"/>
    <w:pPr>
      <w:numPr>
        <w:ilvl w:val="2"/>
      </w:numPr>
      <w:outlineLvl w:val="2"/>
    </w:pPr>
    <w:rPr>
      <w:bCs/>
    </w:rPr>
  </w:style>
  <w:style w:type="paragraph" w:styleId="Heading4">
    <w:name w:val="heading 4"/>
    <w:basedOn w:val="Heading3"/>
    <w:link w:val="Heading4Char"/>
    <w:uiPriority w:val="1"/>
    <w:qFormat/>
    <w:rsid w:val="007F3BDC"/>
    <w:pPr>
      <w:keepNext w:val="0"/>
      <w:keepLines w:val="0"/>
      <w:numPr>
        <w:ilvl w:val="3"/>
      </w:numPr>
      <w:spacing w:before="80" w:after="80"/>
      <w:outlineLvl w:val="3"/>
    </w:pPr>
    <w:rPr>
      <w:rFonts w:asciiTheme="minorHAnsi" w:hAnsiTheme="minorHAnsi"/>
      <w:bCs w:val="0"/>
      <w:iCs/>
      <w:caps w:val="0"/>
    </w:rPr>
  </w:style>
  <w:style w:type="paragraph" w:styleId="Heading5">
    <w:name w:val="heading 5"/>
    <w:basedOn w:val="Heading4"/>
    <w:link w:val="Heading5Char"/>
    <w:uiPriority w:val="1"/>
    <w:qFormat/>
    <w:rsid w:val="007F3BDC"/>
    <w:pPr>
      <w:numPr>
        <w:ilvl w:val="4"/>
      </w:numPr>
      <w:outlineLvl w:val="4"/>
    </w:pPr>
  </w:style>
  <w:style w:type="paragraph" w:styleId="Heading6">
    <w:name w:val="heading 6"/>
    <w:basedOn w:val="Heading5"/>
    <w:link w:val="Heading6Char"/>
    <w:uiPriority w:val="1"/>
    <w:qFormat/>
    <w:rsid w:val="007F3BDC"/>
    <w:pPr>
      <w:numPr>
        <w:ilvl w:val="5"/>
      </w:numPr>
      <w:outlineLvl w:val="5"/>
    </w:pPr>
  </w:style>
  <w:style w:type="paragraph" w:styleId="Heading7">
    <w:name w:val="heading 7"/>
    <w:basedOn w:val="Heading6"/>
    <w:link w:val="Heading7Char"/>
    <w:uiPriority w:val="1"/>
    <w:qFormat/>
    <w:rsid w:val="007F3BDC"/>
    <w:pPr>
      <w:numPr>
        <w:ilvl w:val="6"/>
      </w:numPr>
      <w:outlineLvl w:val="6"/>
    </w:pPr>
  </w:style>
  <w:style w:type="paragraph" w:styleId="Heading8">
    <w:name w:val="heading 8"/>
    <w:basedOn w:val="Heading7"/>
    <w:link w:val="Heading8Char"/>
    <w:uiPriority w:val="1"/>
    <w:qFormat/>
    <w:rsid w:val="007F3BDC"/>
    <w:pPr>
      <w:numPr>
        <w:ilvl w:val="7"/>
      </w:numPr>
      <w:outlineLvl w:val="7"/>
    </w:pPr>
    <w:rPr>
      <w:szCs w:val="20"/>
    </w:rPr>
  </w:style>
  <w:style w:type="paragraph" w:styleId="Heading9">
    <w:name w:val="heading 9"/>
    <w:basedOn w:val="Heading8"/>
    <w:link w:val="Heading9Char"/>
    <w:uiPriority w:val="1"/>
    <w:qFormat/>
    <w:rsid w:val="007F3BDC"/>
    <w:pPr>
      <w:numPr>
        <w:ilvl w:val="8"/>
      </w:numPr>
      <w:outlineLvl w:val="8"/>
    </w:pPr>
    <w:rPr>
      <w:i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qFormat/>
    <w:rsid w:val="00957005"/>
    <w:pPr>
      <w:spacing w:after="0"/>
    </w:pPr>
    <w:rPr>
      <w:sz w:val="16"/>
    </w:rPr>
  </w:style>
  <w:style w:type="paragraph" w:styleId="Title">
    <w:name w:val="Title"/>
    <w:basedOn w:val="Normal"/>
    <w:next w:val="Normal"/>
    <w:link w:val="TitleChar"/>
    <w:uiPriority w:val="8"/>
    <w:qFormat/>
    <w:rsid w:val="00957005"/>
    <w:pPr>
      <w:spacing w:before="0" w:after="0"/>
    </w:pPr>
    <w:rPr>
      <w:rFonts w:ascii="Caecilia LT Std Roman" w:eastAsiaTheme="majorEastAsia" w:hAnsi="Caecilia LT Std Roman" w:cstheme="majorBidi"/>
      <w:b/>
      <w:color w:val="B5D334" w:themeColor="text2"/>
      <w:spacing w:val="-10"/>
      <w:kern w:val="28"/>
      <w:sz w:val="29"/>
      <w:szCs w:val="52"/>
    </w:rPr>
  </w:style>
  <w:style w:type="character" w:customStyle="1" w:styleId="TitleChar">
    <w:name w:val="Title Char"/>
    <w:basedOn w:val="DefaultParagraphFont"/>
    <w:link w:val="Title"/>
    <w:uiPriority w:val="8"/>
    <w:rsid w:val="00094D6E"/>
    <w:rPr>
      <w:rFonts w:ascii="Caecilia LT Std Roman" w:eastAsiaTheme="majorEastAsia" w:hAnsi="Caecilia LT Std Roman" w:cstheme="majorBidi"/>
      <w:b/>
      <w:color w:val="B5D334" w:themeColor="text2"/>
      <w:spacing w:val="-10"/>
      <w:kern w:val="28"/>
      <w:sz w:val="29"/>
      <w:szCs w:val="52"/>
    </w:rPr>
  </w:style>
  <w:style w:type="paragraph" w:styleId="Subtitle">
    <w:name w:val="Subtitle"/>
    <w:basedOn w:val="Normal"/>
    <w:next w:val="Normal"/>
    <w:link w:val="SubtitleChar"/>
    <w:uiPriority w:val="9"/>
    <w:qFormat/>
    <w:rsid w:val="00957005"/>
    <w:pPr>
      <w:numPr>
        <w:ilvl w:val="1"/>
      </w:numPr>
      <w:spacing w:before="0" w:after="0"/>
    </w:pPr>
    <w:rPr>
      <w:rFonts w:asciiTheme="majorHAnsi" w:eastAsiaTheme="majorEastAsia" w:hAnsiTheme="majorHAnsi" w:cstheme="majorBidi"/>
      <w:iCs/>
      <w:caps/>
      <w:spacing w:val="-14"/>
      <w:sz w:val="34"/>
      <w:szCs w:val="24"/>
    </w:rPr>
  </w:style>
  <w:style w:type="character" w:customStyle="1" w:styleId="SubtitleChar">
    <w:name w:val="Subtitle Char"/>
    <w:basedOn w:val="DefaultParagraphFont"/>
    <w:link w:val="Subtitle"/>
    <w:uiPriority w:val="9"/>
    <w:rsid w:val="00094D6E"/>
    <w:rPr>
      <w:rFonts w:asciiTheme="majorHAnsi" w:eastAsiaTheme="majorEastAsia" w:hAnsiTheme="majorHAnsi" w:cstheme="majorBidi"/>
      <w:iCs/>
      <w:caps/>
      <w:spacing w:val="-14"/>
      <w:sz w:val="34"/>
      <w:szCs w:val="24"/>
    </w:rPr>
  </w:style>
  <w:style w:type="character" w:styleId="IntenseReference">
    <w:name w:val="Intense Reference"/>
    <w:basedOn w:val="DefaultParagraphFont"/>
    <w:uiPriority w:val="32"/>
    <w:rsid w:val="00957005"/>
    <w:rPr>
      <w:rFonts w:ascii="Caecilia LT Std Roman" w:hAnsi="Caecilia LT Std Roman"/>
      <w:b/>
      <w:bCs/>
      <w:smallCaps/>
      <w:color w:val="auto"/>
      <w:spacing w:val="5"/>
      <w:sz w:val="22"/>
      <w:u w:val="none"/>
    </w:rPr>
  </w:style>
  <w:style w:type="paragraph" w:customStyle="1" w:styleId="Subject">
    <w:name w:val="Subject"/>
    <w:basedOn w:val="Normal"/>
    <w:next w:val="Normal"/>
    <w:uiPriority w:val="10"/>
    <w:qFormat/>
    <w:rsid w:val="00957005"/>
    <w:pPr>
      <w:spacing w:before="200" w:after="0"/>
      <w:contextualSpacing/>
    </w:pPr>
    <w:rPr>
      <w:b/>
      <w:spacing w:val="-10"/>
      <w:sz w:val="22"/>
    </w:rPr>
  </w:style>
  <w:style w:type="paragraph" w:customStyle="1" w:styleId="Topic">
    <w:name w:val="Topic"/>
    <w:basedOn w:val="Normal"/>
    <w:next w:val="Normal"/>
    <w:uiPriority w:val="10"/>
    <w:qFormat/>
    <w:rsid w:val="00957005"/>
    <w:pPr>
      <w:spacing w:before="0" w:after="360"/>
    </w:pPr>
    <w:rPr>
      <w:spacing w:val="-12"/>
      <w:sz w:val="22"/>
    </w:rPr>
  </w:style>
  <w:style w:type="character" w:customStyle="1" w:styleId="Heading1Char">
    <w:name w:val="Heading 1 Char"/>
    <w:basedOn w:val="DefaultParagraphFont"/>
    <w:link w:val="Heading1"/>
    <w:uiPriority w:val="1"/>
    <w:rsid w:val="00FF7565"/>
    <w:rPr>
      <w:rFonts w:asciiTheme="majorHAnsi" w:eastAsiaTheme="majorEastAsia" w:hAnsiTheme="majorHAnsi" w:cstheme="majorBidi"/>
      <w:bCs/>
      <w:caps/>
      <w:sz w:val="20"/>
      <w:szCs w:val="36"/>
    </w:rPr>
  </w:style>
  <w:style w:type="character" w:customStyle="1" w:styleId="Heading2Char">
    <w:name w:val="Heading 2 Char"/>
    <w:basedOn w:val="DefaultParagraphFont"/>
    <w:link w:val="Heading2"/>
    <w:uiPriority w:val="1"/>
    <w:rsid w:val="00DB1CEB"/>
    <w:rPr>
      <w:rFonts w:asciiTheme="majorHAnsi" w:eastAsiaTheme="majorEastAsia" w:hAnsiTheme="majorHAnsi" w:cstheme="majorBidi"/>
      <w:caps/>
      <w:sz w:val="20"/>
      <w:szCs w:val="16"/>
    </w:rPr>
  </w:style>
  <w:style w:type="character" w:customStyle="1" w:styleId="Heading3Char">
    <w:name w:val="Heading 3 Char"/>
    <w:basedOn w:val="DefaultParagraphFont"/>
    <w:link w:val="Heading3"/>
    <w:uiPriority w:val="1"/>
    <w:rsid w:val="00DB1CEB"/>
    <w:rPr>
      <w:rFonts w:asciiTheme="majorHAnsi" w:eastAsiaTheme="majorEastAsia" w:hAnsiTheme="majorHAnsi" w:cstheme="majorBidi"/>
      <w:bCs/>
      <w:caps/>
      <w:sz w:val="20"/>
      <w:szCs w:val="16"/>
    </w:rPr>
  </w:style>
  <w:style w:type="paragraph" w:styleId="ListParagraph">
    <w:name w:val="List Paragraph"/>
    <w:basedOn w:val="Normal"/>
    <w:uiPriority w:val="34"/>
    <w:qFormat/>
    <w:rsid w:val="00957005"/>
    <w:pPr>
      <w:numPr>
        <w:numId w:val="1"/>
      </w:numPr>
      <w:contextualSpacing/>
    </w:pPr>
  </w:style>
  <w:style w:type="table" w:styleId="TableGrid">
    <w:name w:val="Table Grid"/>
    <w:basedOn w:val="TableNormal"/>
    <w:uiPriority w:val="59"/>
    <w:rsid w:val="00957005"/>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style>
  <w:style w:type="table" w:styleId="LightShading">
    <w:name w:val="Light Shading"/>
    <w:basedOn w:val="TableNormal"/>
    <w:uiPriority w:val="60"/>
    <w:rsid w:val="003218B3"/>
    <w:pPr>
      <w:spacing w:after="0"/>
    </w:pPr>
    <w:rPr>
      <w:color w:val="000000" w:themeColor="text1" w:themeShade="BF"/>
      <w:sz w:val="16"/>
    </w:rPr>
    <w:tblPr>
      <w:tblStyleRowBandSize w:val="1"/>
      <w:tblStyleColBandSize w:val="1"/>
      <w:tblBorders>
        <w:top w:val="single" w:sz="8" w:space="0" w:color="000000" w:themeColor="text1"/>
        <w:bottom w:val="single" w:sz="8" w:space="0" w:color="000000" w:themeColor="text1"/>
        <w:insideH w:val="single" w:sz="8" w:space="0" w:color="auto"/>
        <w:insideV w:val="single" w:sz="8" w:space="0" w:color="auto"/>
      </w:tblBorders>
    </w:tblPr>
    <w:tblStylePr w:type="firstRow">
      <w:pPr>
        <w:spacing w:before="0" w:after="0" w:line="240" w:lineRule="auto"/>
      </w:pPr>
      <w:rPr>
        <w:rFonts w:ascii="Gotham Bold" w:hAnsi="Gotham Bold"/>
        <w:b w:val="0"/>
        <w:bCs/>
        <w:caps/>
        <w:smallCaps w:val="0"/>
        <w:sz w:val="16"/>
      </w:rPr>
      <w:tblPr/>
      <w:tcPr>
        <w:tcBorders>
          <w:top w:val="single" w:sz="8" w:space="0" w:color="000000" w:themeColor="text1"/>
          <w:left w:val="nil"/>
          <w:bottom w:val="single" w:sz="8" w:space="0" w:color="000000" w:themeColor="text1"/>
          <w:right w:val="nil"/>
          <w:insideH w:val="nil"/>
          <w:insideV w:val="single" w:sz="8" w:space="0" w:color="auto"/>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0E6F68"/>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Header">
    <w:name w:val="header"/>
    <w:basedOn w:val="Normal"/>
    <w:link w:val="HeaderChar"/>
    <w:uiPriority w:val="99"/>
    <w:unhideWhenUsed/>
    <w:rsid w:val="00957005"/>
    <w:pPr>
      <w:tabs>
        <w:tab w:val="center" w:pos="4513"/>
        <w:tab w:val="right" w:pos="9026"/>
      </w:tabs>
      <w:spacing w:before="0" w:after="0"/>
    </w:pPr>
    <w:rPr>
      <w:rFonts w:ascii="Gotham Book" w:hAnsi="Gotham Book"/>
      <w:sz w:val="12"/>
    </w:rPr>
  </w:style>
  <w:style w:type="character" w:customStyle="1" w:styleId="HeaderChar">
    <w:name w:val="Header Char"/>
    <w:basedOn w:val="DefaultParagraphFont"/>
    <w:link w:val="Header"/>
    <w:uiPriority w:val="99"/>
    <w:rsid w:val="00970FD3"/>
    <w:rPr>
      <w:rFonts w:ascii="Gotham Book" w:hAnsi="Gotham Book"/>
      <w:sz w:val="12"/>
    </w:rPr>
  </w:style>
  <w:style w:type="paragraph" w:styleId="Footer">
    <w:name w:val="footer"/>
    <w:basedOn w:val="Normal"/>
    <w:link w:val="FooterChar"/>
    <w:uiPriority w:val="99"/>
    <w:unhideWhenUsed/>
    <w:rsid w:val="005C6FF1"/>
    <w:pPr>
      <w:tabs>
        <w:tab w:val="center" w:pos="5330"/>
        <w:tab w:val="right" w:pos="10632"/>
      </w:tabs>
      <w:spacing w:before="0" w:after="0" w:line="240" w:lineRule="auto"/>
    </w:pPr>
    <w:rPr>
      <w:rFonts w:ascii="Gotham Book" w:hAnsi="Gotham Book"/>
      <w:sz w:val="12"/>
    </w:rPr>
  </w:style>
  <w:style w:type="character" w:customStyle="1" w:styleId="FooterChar">
    <w:name w:val="Footer Char"/>
    <w:basedOn w:val="DefaultParagraphFont"/>
    <w:link w:val="Footer"/>
    <w:uiPriority w:val="99"/>
    <w:rsid w:val="005C6FF1"/>
    <w:rPr>
      <w:rFonts w:ascii="Gotham Book" w:hAnsi="Gotham Book"/>
      <w:sz w:val="12"/>
    </w:rPr>
  </w:style>
  <w:style w:type="table" w:styleId="LightList-Accent1">
    <w:name w:val="Light List Accent 1"/>
    <w:basedOn w:val="TableNormal"/>
    <w:uiPriority w:val="61"/>
    <w:rsid w:val="00312F38"/>
    <w:pPr>
      <w:spacing w:after="0"/>
    </w:pPr>
    <w:rPr>
      <w:color w:val="000000" w:themeColor="text1"/>
    </w:rPr>
    <w:tblPr>
      <w:tblStyleRowBandSize w:val="1"/>
      <w:tblStyleColBandSize w:val="1"/>
      <w:tblBorders>
        <w:top w:val="single" w:sz="8" w:space="0" w:color="B5D334" w:themeColor="accent1"/>
        <w:left w:val="single" w:sz="8" w:space="0" w:color="B5D334" w:themeColor="accent1"/>
        <w:bottom w:val="single" w:sz="8" w:space="0" w:color="B5D334" w:themeColor="accent1"/>
        <w:right w:val="single" w:sz="8" w:space="0" w:color="B5D334" w:themeColor="accent1"/>
      </w:tblBorders>
    </w:tblPr>
    <w:tblStylePr w:type="firstRow">
      <w:pPr>
        <w:spacing w:before="0" w:after="0" w:line="240" w:lineRule="auto"/>
      </w:pPr>
      <w:rPr>
        <w:b/>
        <w:bCs/>
        <w:color w:val="000000" w:themeColor="text1"/>
      </w:rPr>
      <w:tblPr/>
      <w:tcPr>
        <w:shd w:val="clear" w:color="auto" w:fill="B5D334" w:themeFill="accent1"/>
      </w:tcPr>
    </w:tblStylePr>
    <w:tblStylePr w:type="lastRow">
      <w:pPr>
        <w:spacing w:before="0" w:after="0" w:line="240" w:lineRule="auto"/>
      </w:pPr>
      <w:rPr>
        <w:b/>
        <w:bCs/>
      </w:rPr>
      <w:tblPr/>
      <w:tcPr>
        <w:tcBorders>
          <w:top w:val="double" w:sz="6" w:space="0" w:color="B5D334" w:themeColor="accent1"/>
          <w:left w:val="single" w:sz="8" w:space="0" w:color="B5D334" w:themeColor="accent1"/>
          <w:bottom w:val="single" w:sz="8" w:space="0" w:color="B5D334" w:themeColor="accent1"/>
          <w:right w:val="single" w:sz="8" w:space="0" w:color="B5D334" w:themeColor="accent1"/>
        </w:tcBorders>
      </w:tcPr>
    </w:tblStylePr>
    <w:tblStylePr w:type="firstCol">
      <w:rPr>
        <w:b w:val="0"/>
        <w:bCs/>
      </w:rPr>
    </w:tblStylePr>
    <w:tblStylePr w:type="lastCol">
      <w:rPr>
        <w:b/>
        <w:bCs/>
      </w:rPr>
    </w:tblStylePr>
    <w:tblStylePr w:type="band1Vert">
      <w:tblPr/>
      <w:tcPr>
        <w:tcBorders>
          <w:top w:val="single" w:sz="8" w:space="0" w:color="B5D334" w:themeColor="accent1"/>
          <w:left w:val="single" w:sz="8" w:space="0" w:color="B5D334" w:themeColor="accent1"/>
          <w:bottom w:val="single" w:sz="8" w:space="0" w:color="B5D334" w:themeColor="accent1"/>
          <w:right w:val="single" w:sz="8" w:space="0" w:color="B5D334" w:themeColor="accent1"/>
        </w:tcBorders>
      </w:tcPr>
    </w:tblStylePr>
    <w:tblStylePr w:type="band1Horz">
      <w:tblPr/>
      <w:tcPr>
        <w:tcBorders>
          <w:top w:val="single" w:sz="8" w:space="0" w:color="B5D334" w:themeColor="accent1"/>
          <w:left w:val="single" w:sz="8" w:space="0" w:color="B5D334" w:themeColor="accent1"/>
          <w:bottom w:val="single" w:sz="8" w:space="0" w:color="B5D334" w:themeColor="accent1"/>
          <w:right w:val="single" w:sz="8" w:space="0" w:color="B5D334" w:themeColor="accent1"/>
        </w:tcBorders>
      </w:tcPr>
    </w:tblStylePr>
  </w:style>
  <w:style w:type="table" w:styleId="MediumShading1-Accent1">
    <w:name w:val="Medium Shading 1 Accent 1"/>
    <w:basedOn w:val="TableNormal"/>
    <w:uiPriority w:val="63"/>
    <w:rsid w:val="00312F38"/>
    <w:pPr>
      <w:spacing w:after="0"/>
    </w:pPr>
    <w:rPr>
      <w:color w:val="000000" w:themeColor="text1"/>
    </w:rPr>
    <w:tblPr>
      <w:tblStyleRowBandSize w:val="1"/>
      <w:tblStyleColBandSize w:val="1"/>
      <w:tblBorders>
        <w:top w:val="single" w:sz="8" w:space="0" w:color="C7DE66" w:themeColor="accent1" w:themeTint="BF"/>
        <w:left w:val="single" w:sz="8" w:space="0" w:color="C7DE66" w:themeColor="accent1" w:themeTint="BF"/>
        <w:bottom w:val="single" w:sz="8" w:space="0" w:color="C7DE66" w:themeColor="accent1" w:themeTint="BF"/>
        <w:right w:val="single" w:sz="8" w:space="0" w:color="C7DE66" w:themeColor="accent1" w:themeTint="BF"/>
        <w:insideH w:val="single" w:sz="8" w:space="0" w:color="C7DE66" w:themeColor="accent1" w:themeTint="BF"/>
      </w:tblBorders>
    </w:tblPr>
    <w:tblStylePr w:type="firstRow">
      <w:pPr>
        <w:spacing w:before="0" w:after="0" w:line="240" w:lineRule="auto"/>
      </w:pPr>
      <w:rPr>
        <w:b/>
        <w:bCs/>
        <w:color w:val="000000" w:themeColor="text1"/>
      </w:rPr>
      <w:tblPr/>
      <w:tcPr>
        <w:tcBorders>
          <w:top w:val="single" w:sz="8" w:space="0" w:color="C7DE66" w:themeColor="accent1" w:themeTint="BF"/>
          <w:left w:val="single" w:sz="8" w:space="0" w:color="C7DE66" w:themeColor="accent1" w:themeTint="BF"/>
          <w:bottom w:val="single" w:sz="8" w:space="0" w:color="C7DE66" w:themeColor="accent1" w:themeTint="BF"/>
          <w:right w:val="single" w:sz="8" w:space="0" w:color="C7DE66" w:themeColor="accent1" w:themeTint="BF"/>
          <w:insideH w:val="nil"/>
          <w:insideV w:val="nil"/>
        </w:tcBorders>
        <w:shd w:val="clear" w:color="auto" w:fill="B5D334" w:themeFill="accent1"/>
      </w:tcPr>
    </w:tblStylePr>
    <w:tblStylePr w:type="lastRow">
      <w:pPr>
        <w:spacing w:before="0" w:after="0" w:line="240" w:lineRule="auto"/>
      </w:pPr>
      <w:rPr>
        <w:b/>
        <w:bCs/>
      </w:rPr>
      <w:tblPr/>
      <w:tcPr>
        <w:tcBorders>
          <w:top w:val="double" w:sz="6" w:space="0" w:color="C7DE66" w:themeColor="accent1" w:themeTint="BF"/>
          <w:left w:val="single" w:sz="8" w:space="0" w:color="C7DE66" w:themeColor="accent1" w:themeTint="BF"/>
          <w:bottom w:val="single" w:sz="8" w:space="0" w:color="C7DE66" w:themeColor="accent1" w:themeTint="BF"/>
          <w:right w:val="single" w:sz="8" w:space="0" w:color="C7DE66" w:themeColor="accent1" w:themeTint="BF"/>
          <w:insideH w:val="nil"/>
          <w:insideV w:val="nil"/>
        </w:tcBorders>
      </w:tcPr>
    </w:tblStylePr>
    <w:tblStylePr w:type="firstCol">
      <w:rPr>
        <w:b/>
        <w:bCs/>
      </w:rPr>
    </w:tblStylePr>
    <w:tblStylePr w:type="lastCol">
      <w:rPr>
        <w:b/>
        <w:bCs/>
      </w:rPr>
    </w:tblStylePr>
    <w:tblStylePr w:type="band1Vert">
      <w:tblPr/>
      <w:tcPr>
        <w:shd w:val="clear" w:color="auto" w:fill="ECF4CC" w:themeFill="accent1" w:themeFillTint="3F"/>
      </w:tcPr>
    </w:tblStylePr>
    <w:tblStylePr w:type="band1Horz">
      <w:tblPr/>
      <w:tcPr>
        <w:tcBorders>
          <w:insideH w:val="nil"/>
          <w:insideV w:val="nil"/>
        </w:tcBorders>
        <w:shd w:val="clear" w:color="auto" w:fill="ECF4CC" w:themeFill="accent1" w:themeFillTint="3F"/>
      </w:tcPr>
    </w:tblStylePr>
    <w:tblStylePr w:type="band2Horz">
      <w:tblPr/>
      <w:tcPr>
        <w:tcBorders>
          <w:insideH w:val="nil"/>
          <w:insideV w:val="nil"/>
        </w:tcBorders>
      </w:tcPr>
    </w:tblStylePr>
  </w:style>
  <w:style w:type="table" w:styleId="LightList-Accent2">
    <w:name w:val="Light List Accent 2"/>
    <w:basedOn w:val="TableNormal"/>
    <w:uiPriority w:val="61"/>
    <w:rsid w:val="00957005"/>
    <w:pPr>
      <w:spacing w:after="0"/>
    </w:pPr>
    <w:tblPr>
      <w:tblStyleRowBandSize w:val="1"/>
      <w:tblStyleColBandSize w:val="1"/>
      <w:tblBorders>
        <w:top w:val="single" w:sz="8" w:space="0" w:color="394049" w:themeColor="accent2"/>
        <w:left w:val="single" w:sz="8" w:space="0" w:color="394049" w:themeColor="accent2"/>
        <w:bottom w:val="single" w:sz="8" w:space="0" w:color="394049" w:themeColor="accent2"/>
        <w:right w:val="single" w:sz="8" w:space="0" w:color="394049" w:themeColor="accent2"/>
      </w:tblBorders>
    </w:tblPr>
    <w:tblStylePr w:type="firstRow">
      <w:pPr>
        <w:spacing w:before="0" w:after="0" w:line="240" w:lineRule="auto"/>
      </w:pPr>
      <w:rPr>
        <w:b/>
        <w:bCs/>
        <w:color w:val="FFFFFF" w:themeColor="background1"/>
      </w:rPr>
      <w:tblPr/>
      <w:tcPr>
        <w:shd w:val="clear" w:color="auto" w:fill="394049" w:themeFill="accent2"/>
      </w:tcPr>
    </w:tblStylePr>
    <w:tblStylePr w:type="lastRow">
      <w:pPr>
        <w:spacing w:before="0" w:after="0" w:line="240" w:lineRule="auto"/>
      </w:pPr>
      <w:rPr>
        <w:b/>
        <w:bCs/>
      </w:rPr>
      <w:tblPr/>
      <w:tcPr>
        <w:tcBorders>
          <w:top w:val="double" w:sz="6" w:space="0" w:color="394049" w:themeColor="accent2"/>
          <w:left w:val="single" w:sz="8" w:space="0" w:color="394049" w:themeColor="accent2"/>
          <w:bottom w:val="single" w:sz="8" w:space="0" w:color="394049" w:themeColor="accent2"/>
          <w:right w:val="single" w:sz="8" w:space="0" w:color="394049" w:themeColor="accent2"/>
        </w:tcBorders>
      </w:tcPr>
    </w:tblStylePr>
    <w:tblStylePr w:type="firstCol">
      <w:rPr>
        <w:b/>
        <w:bCs/>
      </w:rPr>
    </w:tblStylePr>
    <w:tblStylePr w:type="lastCol">
      <w:rPr>
        <w:b/>
        <w:bCs/>
      </w:rPr>
    </w:tblStylePr>
    <w:tblStylePr w:type="band1Vert">
      <w:tblPr/>
      <w:tcPr>
        <w:tcBorders>
          <w:top w:val="single" w:sz="8" w:space="0" w:color="394049" w:themeColor="accent2"/>
          <w:left w:val="single" w:sz="8" w:space="0" w:color="394049" w:themeColor="accent2"/>
          <w:bottom w:val="single" w:sz="8" w:space="0" w:color="394049" w:themeColor="accent2"/>
          <w:right w:val="single" w:sz="8" w:space="0" w:color="394049" w:themeColor="accent2"/>
        </w:tcBorders>
      </w:tcPr>
    </w:tblStylePr>
    <w:tblStylePr w:type="band1Horz">
      <w:tblPr/>
      <w:tcPr>
        <w:tcBorders>
          <w:top w:val="single" w:sz="8" w:space="0" w:color="394049" w:themeColor="accent2"/>
          <w:left w:val="single" w:sz="8" w:space="0" w:color="394049" w:themeColor="accent2"/>
          <w:bottom w:val="single" w:sz="8" w:space="0" w:color="394049" w:themeColor="accent2"/>
          <w:right w:val="single" w:sz="8" w:space="0" w:color="394049" w:themeColor="accent2"/>
        </w:tcBorders>
      </w:tcPr>
    </w:tblStylePr>
  </w:style>
  <w:style w:type="table" w:styleId="LightList-Accent3">
    <w:name w:val="Light List Accent 3"/>
    <w:basedOn w:val="TableNormal"/>
    <w:uiPriority w:val="61"/>
    <w:rsid w:val="00957005"/>
    <w:pPr>
      <w:spacing w:after="0"/>
    </w:pPr>
    <w:tblPr>
      <w:tblStyleRowBandSize w:val="1"/>
      <w:tblStyleColBandSize w:val="1"/>
      <w:tblBorders>
        <w:top w:val="single" w:sz="8" w:space="0" w:color="868A90" w:themeColor="accent3"/>
        <w:left w:val="single" w:sz="8" w:space="0" w:color="868A90" w:themeColor="accent3"/>
        <w:bottom w:val="single" w:sz="8" w:space="0" w:color="868A90" w:themeColor="accent3"/>
        <w:right w:val="single" w:sz="8" w:space="0" w:color="868A90" w:themeColor="accent3"/>
      </w:tblBorders>
    </w:tblPr>
    <w:tblStylePr w:type="firstRow">
      <w:pPr>
        <w:spacing w:before="0" w:after="0" w:line="240" w:lineRule="auto"/>
      </w:pPr>
      <w:rPr>
        <w:b/>
        <w:bCs/>
        <w:color w:val="FFFFFF" w:themeColor="background1"/>
      </w:rPr>
      <w:tblPr/>
      <w:tcPr>
        <w:shd w:val="clear" w:color="auto" w:fill="868A90" w:themeFill="accent3"/>
      </w:tcPr>
    </w:tblStylePr>
    <w:tblStylePr w:type="lastRow">
      <w:pPr>
        <w:spacing w:before="0" w:after="0" w:line="240" w:lineRule="auto"/>
      </w:pPr>
      <w:rPr>
        <w:b/>
        <w:bCs/>
      </w:rPr>
      <w:tblPr/>
      <w:tcPr>
        <w:tcBorders>
          <w:top w:val="double" w:sz="6" w:space="0" w:color="868A90" w:themeColor="accent3"/>
          <w:left w:val="single" w:sz="8" w:space="0" w:color="868A90" w:themeColor="accent3"/>
          <w:bottom w:val="single" w:sz="8" w:space="0" w:color="868A90" w:themeColor="accent3"/>
          <w:right w:val="single" w:sz="8" w:space="0" w:color="868A90" w:themeColor="accent3"/>
        </w:tcBorders>
      </w:tcPr>
    </w:tblStylePr>
    <w:tblStylePr w:type="firstCol">
      <w:rPr>
        <w:b/>
        <w:bCs/>
      </w:rPr>
    </w:tblStylePr>
    <w:tblStylePr w:type="lastCol">
      <w:rPr>
        <w:b/>
        <w:bCs/>
      </w:rPr>
    </w:tblStylePr>
    <w:tblStylePr w:type="band1Vert">
      <w:tblPr/>
      <w:tcPr>
        <w:tcBorders>
          <w:top w:val="single" w:sz="8" w:space="0" w:color="868A90" w:themeColor="accent3"/>
          <w:left w:val="single" w:sz="8" w:space="0" w:color="868A90" w:themeColor="accent3"/>
          <w:bottom w:val="single" w:sz="8" w:space="0" w:color="868A90" w:themeColor="accent3"/>
          <w:right w:val="single" w:sz="8" w:space="0" w:color="868A90" w:themeColor="accent3"/>
        </w:tcBorders>
      </w:tcPr>
    </w:tblStylePr>
    <w:tblStylePr w:type="band1Horz">
      <w:tblPr/>
      <w:tcPr>
        <w:tcBorders>
          <w:top w:val="single" w:sz="8" w:space="0" w:color="868A90" w:themeColor="accent3"/>
          <w:left w:val="single" w:sz="8" w:space="0" w:color="868A90" w:themeColor="accent3"/>
          <w:bottom w:val="single" w:sz="8" w:space="0" w:color="868A90" w:themeColor="accent3"/>
          <w:right w:val="single" w:sz="8" w:space="0" w:color="868A90" w:themeColor="accent3"/>
        </w:tcBorders>
      </w:tcPr>
    </w:tblStylePr>
  </w:style>
  <w:style w:type="table" w:styleId="MediumList2-Accent1">
    <w:name w:val="Medium List 2 Accent 1"/>
    <w:basedOn w:val="TableNormal"/>
    <w:uiPriority w:val="66"/>
    <w:rsid w:val="00957005"/>
    <w:pPr>
      <w:spacing w:after="0"/>
    </w:pPr>
    <w:rPr>
      <w:rFonts w:asciiTheme="majorHAnsi" w:eastAsiaTheme="majorEastAsia" w:hAnsiTheme="majorHAnsi" w:cstheme="majorBidi"/>
      <w:color w:val="000000" w:themeColor="text1"/>
    </w:rPr>
    <w:tblPr>
      <w:tblStyleRowBandSize w:val="1"/>
      <w:tblStyleColBandSize w:val="1"/>
      <w:tblBorders>
        <w:top w:val="single" w:sz="8" w:space="0" w:color="B5D334" w:themeColor="accent1"/>
        <w:left w:val="single" w:sz="8" w:space="0" w:color="B5D334" w:themeColor="accent1"/>
        <w:bottom w:val="single" w:sz="8" w:space="0" w:color="B5D334" w:themeColor="accent1"/>
        <w:right w:val="single" w:sz="8" w:space="0" w:color="B5D334" w:themeColor="accent1"/>
      </w:tblBorders>
    </w:tblPr>
    <w:tblStylePr w:type="firstRow">
      <w:rPr>
        <w:sz w:val="24"/>
        <w:szCs w:val="24"/>
      </w:rPr>
      <w:tblPr/>
      <w:tcPr>
        <w:tcBorders>
          <w:top w:val="nil"/>
          <w:left w:val="nil"/>
          <w:bottom w:val="single" w:sz="24" w:space="0" w:color="B5D334" w:themeColor="accent1"/>
          <w:right w:val="nil"/>
          <w:insideH w:val="nil"/>
          <w:insideV w:val="nil"/>
        </w:tcBorders>
        <w:shd w:val="clear" w:color="auto" w:fill="FFFFFF" w:themeFill="background1"/>
      </w:tcPr>
    </w:tblStylePr>
    <w:tblStylePr w:type="lastRow">
      <w:tblPr/>
      <w:tcPr>
        <w:tcBorders>
          <w:top w:val="single" w:sz="8" w:space="0" w:color="B5D33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5D334" w:themeColor="accent1"/>
          <w:insideH w:val="nil"/>
          <w:insideV w:val="nil"/>
        </w:tcBorders>
        <w:shd w:val="clear" w:color="auto" w:fill="FFFFFF" w:themeFill="background1"/>
      </w:tcPr>
    </w:tblStylePr>
    <w:tblStylePr w:type="lastCol">
      <w:tblPr/>
      <w:tcPr>
        <w:tcBorders>
          <w:top w:val="nil"/>
          <w:left w:val="single" w:sz="8" w:space="0" w:color="B5D33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F4CC" w:themeFill="accent1" w:themeFillTint="3F"/>
      </w:tcPr>
    </w:tblStylePr>
    <w:tblStylePr w:type="band1Horz">
      <w:tblPr/>
      <w:tcPr>
        <w:tcBorders>
          <w:top w:val="nil"/>
          <w:bottom w:val="nil"/>
          <w:insideH w:val="nil"/>
          <w:insideV w:val="nil"/>
        </w:tcBorders>
        <w:shd w:val="clear" w:color="auto" w:fill="ECF4C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Accent4">
    <w:name w:val="Medium Grid 2 Accent 4"/>
    <w:basedOn w:val="TableNormal"/>
    <w:uiPriority w:val="68"/>
    <w:rsid w:val="00957005"/>
    <w:pPr>
      <w:spacing w:after="0"/>
    </w:pPr>
    <w:rPr>
      <w:rFonts w:asciiTheme="majorHAnsi" w:eastAsiaTheme="majorEastAsia" w:hAnsiTheme="majorHAnsi" w:cstheme="majorBidi"/>
      <w:color w:val="000000" w:themeColor="text1"/>
    </w:rPr>
    <w:tblPr>
      <w:tblStyleRowBandSize w:val="1"/>
      <w:tblStyleColBandSize w:val="1"/>
      <w:tblBorders>
        <w:top w:val="single" w:sz="8" w:space="0" w:color="EBECED" w:themeColor="accent4"/>
        <w:left w:val="single" w:sz="8" w:space="0" w:color="EBECED" w:themeColor="accent4"/>
        <w:bottom w:val="single" w:sz="8" w:space="0" w:color="EBECED" w:themeColor="accent4"/>
        <w:right w:val="single" w:sz="8" w:space="0" w:color="EBECED" w:themeColor="accent4"/>
        <w:insideH w:val="single" w:sz="8" w:space="0" w:color="EBECED" w:themeColor="accent4"/>
        <w:insideV w:val="single" w:sz="8" w:space="0" w:color="EBECED" w:themeColor="accent4"/>
      </w:tblBorders>
    </w:tblPr>
    <w:tcPr>
      <w:shd w:val="clear" w:color="auto" w:fill="F9FAFA" w:themeFill="accent4" w:themeFillTint="3F"/>
    </w:tcPr>
    <w:tblStylePr w:type="firstRow">
      <w:rPr>
        <w:b/>
        <w:bCs/>
        <w:color w:val="000000" w:themeColor="text1"/>
      </w:rPr>
      <w:tblPr/>
      <w:tcPr>
        <w:shd w:val="clear" w:color="auto" w:fill="FCFC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BFB" w:themeFill="accent4" w:themeFillTint="33"/>
      </w:tcPr>
    </w:tblStylePr>
    <w:tblStylePr w:type="band1Vert">
      <w:tblPr/>
      <w:tcPr>
        <w:shd w:val="clear" w:color="auto" w:fill="F5F5F6" w:themeFill="accent4" w:themeFillTint="7F"/>
      </w:tcPr>
    </w:tblStylePr>
    <w:tblStylePr w:type="band1Horz">
      <w:tblPr/>
      <w:tcPr>
        <w:tcBorders>
          <w:insideH w:val="single" w:sz="6" w:space="0" w:color="EBECED" w:themeColor="accent4"/>
          <w:insideV w:val="single" w:sz="6" w:space="0" w:color="EBECED" w:themeColor="accent4"/>
        </w:tcBorders>
        <w:shd w:val="clear" w:color="auto" w:fill="F5F5F6" w:themeFill="accent4" w:themeFillTint="7F"/>
      </w:tcPr>
    </w:tblStylePr>
    <w:tblStylePr w:type="nwCell">
      <w:tblPr/>
      <w:tcPr>
        <w:shd w:val="clear" w:color="auto" w:fill="FFFFFF" w:themeFill="background1"/>
      </w:tcPr>
    </w:tblStylePr>
  </w:style>
  <w:style w:type="table" w:styleId="MediumGrid2">
    <w:name w:val="Medium Grid 2"/>
    <w:basedOn w:val="TableNormal"/>
    <w:uiPriority w:val="68"/>
    <w:rsid w:val="00970DA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LightShading-Accent1">
    <w:name w:val="Light Shading Accent 1"/>
    <w:basedOn w:val="TableNormal"/>
    <w:uiPriority w:val="60"/>
    <w:rsid w:val="00970DA4"/>
    <w:pPr>
      <w:spacing w:after="0"/>
    </w:pPr>
    <w:rPr>
      <w:color w:val="89A123" w:themeColor="accent1" w:themeShade="BF"/>
    </w:rPr>
    <w:tblPr>
      <w:tblStyleRowBandSize w:val="1"/>
      <w:tblStyleColBandSize w:val="1"/>
      <w:tblBorders>
        <w:top w:val="single" w:sz="8" w:space="0" w:color="B5D334" w:themeColor="accent1"/>
        <w:bottom w:val="single" w:sz="8" w:space="0" w:color="B5D334" w:themeColor="accent1"/>
      </w:tblBorders>
    </w:tblPr>
    <w:tblStylePr w:type="firstRow">
      <w:pPr>
        <w:spacing w:before="0" w:after="0" w:line="240" w:lineRule="auto"/>
      </w:pPr>
      <w:rPr>
        <w:b/>
        <w:bCs/>
      </w:rPr>
      <w:tblPr/>
      <w:tcPr>
        <w:tcBorders>
          <w:top w:val="single" w:sz="8" w:space="0" w:color="B5D334" w:themeColor="accent1"/>
          <w:left w:val="nil"/>
          <w:bottom w:val="single" w:sz="8" w:space="0" w:color="B5D334" w:themeColor="accent1"/>
          <w:right w:val="nil"/>
          <w:insideH w:val="nil"/>
          <w:insideV w:val="nil"/>
        </w:tcBorders>
      </w:tcPr>
    </w:tblStylePr>
    <w:tblStylePr w:type="lastRow">
      <w:pPr>
        <w:spacing w:before="0" w:after="0" w:line="240" w:lineRule="auto"/>
      </w:pPr>
      <w:rPr>
        <w:b/>
        <w:bCs/>
      </w:rPr>
      <w:tblPr/>
      <w:tcPr>
        <w:tcBorders>
          <w:top w:val="single" w:sz="8" w:space="0" w:color="B5D334" w:themeColor="accent1"/>
          <w:left w:val="nil"/>
          <w:bottom w:val="single" w:sz="8" w:space="0" w:color="B5D33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F4CC" w:themeFill="accent1" w:themeFillTint="3F"/>
      </w:tcPr>
    </w:tblStylePr>
    <w:tblStylePr w:type="band1Horz">
      <w:tblPr/>
      <w:tcPr>
        <w:tcBorders>
          <w:left w:val="nil"/>
          <w:right w:val="nil"/>
          <w:insideH w:val="nil"/>
          <w:insideV w:val="nil"/>
        </w:tcBorders>
        <w:shd w:val="clear" w:color="auto" w:fill="ECF4CC" w:themeFill="accent1" w:themeFillTint="3F"/>
      </w:tcPr>
    </w:tblStylePr>
  </w:style>
  <w:style w:type="paragraph" w:customStyle="1" w:styleId="SigName">
    <w:name w:val="SigName"/>
    <w:basedOn w:val="Normal"/>
    <w:next w:val="SigTitle"/>
    <w:uiPriority w:val="15"/>
    <w:qFormat/>
    <w:rsid w:val="00957005"/>
    <w:pPr>
      <w:spacing w:after="0"/>
    </w:pPr>
  </w:style>
  <w:style w:type="paragraph" w:customStyle="1" w:styleId="BranchDetails">
    <w:name w:val="BranchDetails"/>
    <w:basedOn w:val="Normal"/>
    <w:uiPriority w:val="18"/>
    <w:qFormat/>
    <w:rsid w:val="00957005"/>
    <w:pPr>
      <w:tabs>
        <w:tab w:val="left" w:pos="210"/>
      </w:tabs>
      <w:spacing w:before="0" w:after="0" w:line="170" w:lineRule="atLeast"/>
    </w:pPr>
    <w:rPr>
      <w:spacing w:val="-4"/>
      <w:sz w:val="14"/>
      <w:szCs w:val="12"/>
    </w:rPr>
  </w:style>
  <w:style w:type="paragraph" w:customStyle="1" w:styleId="SigTitle">
    <w:name w:val="SigTitle"/>
    <w:basedOn w:val="Normal"/>
    <w:next w:val="Normal"/>
    <w:uiPriority w:val="16"/>
    <w:qFormat/>
    <w:rsid w:val="00957005"/>
    <w:pPr>
      <w:spacing w:before="0"/>
    </w:pPr>
  </w:style>
  <w:style w:type="character" w:customStyle="1" w:styleId="BranchContactType">
    <w:name w:val="BranchContactType"/>
    <w:basedOn w:val="DefaultParagraphFont"/>
    <w:uiPriority w:val="19"/>
    <w:qFormat/>
    <w:rsid w:val="00957005"/>
    <w:rPr>
      <w:rFonts w:asciiTheme="minorHAnsi" w:hAnsiTheme="minorHAnsi"/>
      <w:b/>
      <w:color w:val="B5D334" w:themeColor="text2"/>
      <w:spacing w:val="-4"/>
      <w:sz w:val="14"/>
    </w:rPr>
  </w:style>
  <w:style w:type="character" w:customStyle="1" w:styleId="Heading4Char">
    <w:name w:val="Heading 4 Char"/>
    <w:basedOn w:val="DefaultParagraphFont"/>
    <w:link w:val="Heading4"/>
    <w:uiPriority w:val="1"/>
    <w:rsid w:val="00DB1CEB"/>
    <w:rPr>
      <w:rFonts w:eastAsiaTheme="majorEastAsia" w:cstheme="majorBidi"/>
      <w:iCs/>
      <w:sz w:val="20"/>
      <w:szCs w:val="16"/>
    </w:rPr>
  </w:style>
  <w:style w:type="character" w:customStyle="1" w:styleId="Heading5Char">
    <w:name w:val="Heading 5 Char"/>
    <w:basedOn w:val="DefaultParagraphFont"/>
    <w:link w:val="Heading5"/>
    <w:uiPriority w:val="1"/>
    <w:rsid w:val="00DB1CEB"/>
    <w:rPr>
      <w:rFonts w:eastAsiaTheme="majorEastAsia" w:cstheme="majorBidi"/>
      <w:iCs/>
      <w:sz w:val="20"/>
      <w:szCs w:val="16"/>
    </w:rPr>
  </w:style>
  <w:style w:type="character" w:customStyle="1" w:styleId="Heading6Char">
    <w:name w:val="Heading 6 Char"/>
    <w:basedOn w:val="DefaultParagraphFont"/>
    <w:link w:val="Heading6"/>
    <w:uiPriority w:val="1"/>
    <w:rsid w:val="00DB1CEB"/>
    <w:rPr>
      <w:rFonts w:eastAsiaTheme="majorEastAsia" w:cstheme="majorBidi"/>
      <w:iCs/>
      <w:sz w:val="20"/>
      <w:szCs w:val="16"/>
    </w:rPr>
  </w:style>
  <w:style w:type="character" w:customStyle="1" w:styleId="Heading7Char">
    <w:name w:val="Heading 7 Char"/>
    <w:basedOn w:val="DefaultParagraphFont"/>
    <w:link w:val="Heading7"/>
    <w:uiPriority w:val="1"/>
    <w:rsid w:val="00DB1CEB"/>
    <w:rPr>
      <w:rFonts w:eastAsiaTheme="majorEastAsia" w:cstheme="majorBidi"/>
      <w:iCs/>
      <w:sz w:val="20"/>
      <w:szCs w:val="16"/>
    </w:rPr>
  </w:style>
  <w:style w:type="character" w:customStyle="1" w:styleId="Heading8Char">
    <w:name w:val="Heading 8 Char"/>
    <w:basedOn w:val="DefaultParagraphFont"/>
    <w:link w:val="Heading8"/>
    <w:uiPriority w:val="1"/>
    <w:rsid w:val="00DB1CEB"/>
    <w:rPr>
      <w:rFonts w:eastAsiaTheme="majorEastAsia" w:cstheme="majorBidi"/>
      <w:iCs/>
      <w:sz w:val="20"/>
      <w:szCs w:val="20"/>
    </w:rPr>
  </w:style>
  <w:style w:type="character" w:customStyle="1" w:styleId="Heading9Char">
    <w:name w:val="Heading 9 Char"/>
    <w:basedOn w:val="DefaultParagraphFont"/>
    <w:link w:val="Heading9"/>
    <w:uiPriority w:val="1"/>
    <w:rsid w:val="00DB1CEB"/>
    <w:rPr>
      <w:rFonts w:eastAsiaTheme="majorEastAsia" w:cstheme="majorBidi"/>
      <w:sz w:val="20"/>
      <w:szCs w:val="20"/>
    </w:rPr>
  </w:style>
  <w:style w:type="paragraph" w:customStyle="1" w:styleId="NIndent">
    <w:name w:val="NIndent"/>
    <w:basedOn w:val="Normal"/>
    <w:uiPriority w:val="1"/>
    <w:qFormat/>
    <w:rsid w:val="00A50199"/>
    <w:pPr>
      <w:ind w:left="567"/>
    </w:pPr>
  </w:style>
  <w:style w:type="paragraph" w:customStyle="1" w:styleId="HdgRight">
    <w:name w:val="HdgRight"/>
    <w:basedOn w:val="Normal"/>
    <w:link w:val="HdgRightChar"/>
    <w:uiPriority w:val="3"/>
    <w:qFormat/>
    <w:rsid w:val="00E11C7D"/>
    <w:pPr>
      <w:jc w:val="right"/>
    </w:pPr>
    <w:rPr>
      <w:rFonts w:asciiTheme="majorHAnsi" w:hAnsiTheme="majorHAnsi"/>
      <w:caps/>
      <w:spacing w:val="-6"/>
    </w:rPr>
  </w:style>
  <w:style w:type="paragraph" w:customStyle="1" w:styleId="HdgLeft">
    <w:name w:val="HdgLeft"/>
    <w:basedOn w:val="HdgRight"/>
    <w:next w:val="Normal"/>
    <w:link w:val="HdgLeftChar"/>
    <w:uiPriority w:val="3"/>
    <w:qFormat/>
    <w:rsid w:val="00957005"/>
    <w:pPr>
      <w:jc w:val="left"/>
    </w:pPr>
  </w:style>
  <w:style w:type="paragraph" w:customStyle="1" w:styleId="Roman">
    <w:name w:val="Roman"/>
    <w:basedOn w:val="Normal"/>
    <w:next w:val="Normal"/>
    <w:uiPriority w:val="21"/>
    <w:qFormat/>
    <w:rsid w:val="00957005"/>
    <w:rPr>
      <w:rFonts w:ascii="Caecilia LT Std Roman" w:hAnsi="Caecilia LT Std Roman"/>
    </w:rPr>
  </w:style>
  <w:style w:type="paragraph" w:styleId="BalloonText">
    <w:name w:val="Balloon Text"/>
    <w:basedOn w:val="Normal"/>
    <w:link w:val="BalloonTextChar"/>
    <w:uiPriority w:val="99"/>
    <w:semiHidden/>
    <w:unhideWhenUsed/>
    <w:rsid w:val="00957005"/>
    <w:pPr>
      <w:spacing w:before="0" w:after="0"/>
    </w:pPr>
    <w:rPr>
      <w:rFonts w:ascii="Tahoma" w:hAnsi="Tahoma" w:cs="Tahoma"/>
      <w:szCs w:val="16"/>
    </w:rPr>
  </w:style>
  <w:style w:type="character" w:customStyle="1" w:styleId="BalloonTextChar">
    <w:name w:val="Balloon Text Char"/>
    <w:basedOn w:val="DefaultParagraphFont"/>
    <w:link w:val="BalloonText"/>
    <w:uiPriority w:val="99"/>
    <w:semiHidden/>
    <w:rsid w:val="00A1082F"/>
    <w:rPr>
      <w:rFonts w:ascii="Tahoma" w:hAnsi="Tahoma" w:cs="Tahoma"/>
      <w:sz w:val="17"/>
      <w:szCs w:val="16"/>
    </w:rPr>
  </w:style>
  <w:style w:type="paragraph" w:customStyle="1" w:styleId="Divider">
    <w:name w:val="Divider"/>
    <w:basedOn w:val="Normal"/>
    <w:next w:val="Normal"/>
    <w:uiPriority w:val="17"/>
    <w:qFormat/>
    <w:rsid w:val="00957005"/>
    <w:pPr>
      <w:pBdr>
        <w:top w:val="single" w:sz="4" w:space="1" w:color="B5D334" w:themeColor="accent1"/>
        <w:between w:val="single" w:sz="4" w:space="1" w:color="auto"/>
      </w:pBdr>
    </w:pPr>
    <w:rPr>
      <w:noProof/>
      <w:lang w:eastAsia="en-NZ"/>
    </w:rPr>
  </w:style>
  <w:style w:type="paragraph" w:customStyle="1" w:styleId="HdgLeftGreen">
    <w:name w:val="HdgLeftGreen"/>
    <w:basedOn w:val="HdgLeft"/>
    <w:next w:val="Normal"/>
    <w:uiPriority w:val="3"/>
    <w:qFormat/>
    <w:rsid w:val="00DF766D"/>
    <w:rPr>
      <w:color w:val="B5D334" w:themeColor="text2"/>
    </w:rPr>
  </w:style>
  <w:style w:type="paragraph" w:customStyle="1" w:styleId="TableText">
    <w:name w:val="TableText"/>
    <w:basedOn w:val="Normal"/>
    <w:uiPriority w:val="23"/>
    <w:qFormat/>
    <w:rsid w:val="009B615C"/>
    <w:pPr>
      <w:spacing w:before="80"/>
    </w:pPr>
  </w:style>
  <w:style w:type="table" w:styleId="LightShading-Accent2">
    <w:name w:val="Light Shading Accent 2"/>
    <w:basedOn w:val="TableNormal"/>
    <w:uiPriority w:val="60"/>
    <w:rsid w:val="00957005"/>
    <w:pPr>
      <w:spacing w:before="0" w:after="0"/>
    </w:pPr>
    <w:rPr>
      <w:color w:val="2A2F36" w:themeColor="accent2" w:themeShade="BF"/>
    </w:rPr>
    <w:tblPr>
      <w:tblStyleRowBandSize w:val="1"/>
      <w:tblStyleColBandSize w:val="1"/>
      <w:tblBorders>
        <w:top w:val="single" w:sz="8" w:space="0" w:color="394049" w:themeColor="accent2"/>
        <w:bottom w:val="single" w:sz="8" w:space="0" w:color="394049" w:themeColor="accent2"/>
      </w:tblBorders>
    </w:tblPr>
    <w:tblStylePr w:type="firstRow">
      <w:pPr>
        <w:spacing w:before="0" w:after="0" w:line="240" w:lineRule="auto"/>
      </w:pPr>
      <w:rPr>
        <w:b/>
        <w:bCs/>
      </w:rPr>
      <w:tblPr/>
      <w:tcPr>
        <w:tcBorders>
          <w:top w:val="single" w:sz="8" w:space="0" w:color="394049" w:themeColor="accent2"/>
          <w:left w:val="nil"/>
          <w:bottom w:val="single" w:sz="8" w:space="0" w:color="394049" w:themeColor="accent2"/>
          <w:right w:val="nil"/>
          <w:insideH w:val="nil"/>
          <w:insideV w:val="nil"/>
        </w:tcBorders>
      </w:tcPr>
    </w:tblStylePr>
    <w:tblStylePr w:type="lastRow">
      <w:pPr>
        <w:spacing w:before="0" w:after="0" w:line="240" w:lineRule="auto"/>
      </w:pPr>
      <w:rPr>
        <w:b/>
        <w:bCs/>
      </w:rPr>
      <w:tblPr/>
      <w:tcPr>
        <w:tcBorders>
          <w:top w:val="single" w:sz="8" w:space="0" w:color="394049" w:themeColor="accent2"/>
          <w:left w:val="nil"/>
          <w:bottom w:val="single" w:sz="8" w:space="0" w:color="39404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ACFD5" w:themeFill="accent2" w:themeFillTint="3F"/>
      </w:tcPr>
    </w:tblStylePr>
    <w:tblStylePr w:type="band1Horz">
      <w:tblPr/>
      <w:tcPr>
        <w:tcBorders>
          <w:left w:val="nil"/>
          <w:right w:val="nil"/>
          <w:insideH w:val="nil"/>
          <w:insideV w:val="nil"/>
        </w:tcBorders>
        <w:shd w:val="clear" w:color="auto" w:fill="CACFD5" w:themeFill="accent2" w:themeFillTint="3F"/>
      </w:tcPr>
    </w:tblStylePr>
  </w:style>
  <w:style w:type="table" w:styleId="LightShading-Accent6">
    <w:name w:val="Light Shading Accent 6"/>
    <w:basedOn w:val="TableNormal"/>
    <w:uiPriority w:val="60"/>
    <w:rsid w:val="00957005"/>
    <w:pPr>
      <w:spacing w:before="0" w:after="0"/>
    </w:pPr>
    <w:rPr>
      <w:color w:val="D5E088" w:themeColor="accent6" w:themeShade="BF"/>
    </w:rPr>
    <w:tblPr>
      <w:tblStyleRowBandSize w:val="1"/>
      <w:tblStyleColBandSize w:val="1"/>
      <w:tblBorders>
        <w:top w:val="single" w:sz="8" w:space="0" w:color="F7F9E8" w:themeColor="accent6"/>
        <w:bottom w:val="single" w:sz="8" w:space="0" w:color="F7F9E8" w:themeColor="accent6"/>
      </w:tblBorders>
    </w:tblPr>
    <w:tblStylePr w:type="firstRow">
      <w:pPr>
        <w:spacing w:before="0" w:after="0" w:line="240" w:lineRule="auto"/>
      </w:pPr>
      <w:rPr>
        <w:b/>
        <w:bCs/>
      </w:rPr>
      <w:tblPr/>
      <w:tcPr>
        <w:tcBorders>
          <w:top w:val="single" w:sz="8" w:space="0" w:color="F7F9E8" w:themeColor="accent6"/>
          <w:left w:val="nil"/>
          <w:bottom w:val="single" w:sz="8" w:space="0" w:color="F7F9E8" w:themeColor="accent6"/>
          <w:right w:val="nil"/>
          <w:insideH w:val="nil"/>
          <w:insideV w:val="nil"/>
        </w:tcBorders>
      </w:tcPr>
    </w:tblStylePr>
    <w:tblStylePr w:type="lastRow">
      <w:pPr>
        <w:spacing w:before="0" w:after="0" w:line="240" w:lineRule="auto"/>
      </w:pPr>
      <w:rPr>
        <w:b/>
        <w:bCs/>
      </w:rPr>
      <w:tblPr/>
      <w:tcPr>
        <w:tcBorders>
          <w:top w:val="single" w:sz="8" w:space="0" w:color="F7F9E8" w:themeColor="accent6"/>
          <w:left w:val="nil"/>
          <w:bottom w:val="single" w:sz="8" w:space="0" w:color="F7F9E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DF9" w:themeFill="accent6" w:themeFillTint="3F"/>
      </w:tcPr>
    </w:tblStylePr>
    <w:tblStylePr w:type="band1Horz">
      <w:tblPr/>
      <w:tcPr>
        <w:tcBorders>
          <w:left w:val="nil"/>
          <w:right w:val="nil"/>
          <w:insideH w:val="nil"/>
          <w:insideV w:val="nil"/>
        </w:tcBorders>
        <w:shd w:val="clear" w:color="auto" w:fill="FCFDF9" w:themeFill="accent6" w:themeFillTint="3F"/>
      </w:tcPr>
    </w:tblStylePr>
  </w:style>
  <w:style w:type="table" w:customStyle="1" w:styleId="HGTable1">
    <w:name w:val="HGTable1"/>
    <w:basedOn w:val="TableNormal"/>
    <w:uiPriority w:val="99"/>
    <w:rsid w:val="005B634D"/>
    <w:pPr>
      <w:spacing w:before="0" w:after="0"/>
    </w:pPr>
    <w:tblPr>
      <w:tblBorders>
        <w:top w:val="single" w:sz="2" w:space="0" w:color="auto"/>
        <w:bottom w:val="single" w:sz="2" w:space="0" w:color="auto"/>
        <w:insideH w:val="single" w:sz="2" w:space="0" w:color="auto"/>
        <w:insideV w:val="single" w:sz="8" w:space="0" w:color="auto"/>
      </w:tblBorders>
    </w:tblPr>
    <w:tblStylePr w:type="firstRow">
      <w:rPr>
        <w:rFonts w:asciiTheme="majorHAnsi" w:hAnsiTheme="majorHAnsi"/>
        <w:caps w:val="0"/>
        <w:smallCaps w:val="0"/>
        <w:sz w:val="14"/>
      </w:rPr>
      <w:tblPr/>
      <w:tcPr>
        <w:tcBorders>
          <w:top w:val="single" w:sz="2" w:space="0" w:color="auto"/>
          <w:left w:val="nil"/>
          <w:bottom w:val="single" w:sz="2" w:space="0" w:color="auto"/>
          <w:right w:val="nil"/>
          <w:insideH w:val="nil"/>
          <w:insideV w:val="single" w:sz="8" w:space="0" w:color="auto"/>
          <w:tl2br w:val="nil"/>
          <w:tr2bl w:val="nil"/>
        </w:tcBorders>
        <w:shd w:val="clear" w:color="auto" w:fill="EBECED" w:themeFill="accent4"/>
      </w:tcPr>
    </w:tblStylePr>
  </w:style>
  <w:style w:type="table" w:customStyle="1" w:styleId="HGTable2">
    <w:name w:val="HGTable2"/>
    <w:basedOn w:val="TableNormal"/>
    <w:uiPriority w:val="99"/>
    <w:rsid w:val="005B634D"/>
    <w:pPr>
      <w:spacing w:before="0" w:after="0"/>
    </w:pPr>
    <w:tblPr>
      <w:tblBorders>
        <w:top w:val="single" w:sz="4" w:space="0" w:color="auto"/>
        <w:bottom w:val="single" w:sz="4" w:space="0" w:color="auto"/>
        <w:insideH w:val="single" w:sz="4" w:space="0" w:color="auto"/>
        <w:insideV w:val="single" w:sz="8" w:space="0" w:color="auto"/>
      </w:tblBorders>
    </w:tblPr>
    <w:tblStylePr w:type="firstRow">
      <w:pPr>
        <w:wordWrap/>
        <w:spacing w:beforeLines="0" w:before="0" w:beforeAutospacing="0" w:afterLines="60" w:after="60" w:afterAutospacing="0" w:line="240" w:lineRule="atLeast"/>
      </w:pPr>
      <w:rPr>
        <w:rFonts w:asciiTheme="majorHAnsi" w:hAnsiTheme="majorHAnsi"/>
        <w:caps/>
        <w:smallCaps w:val="0"/>
        <w:sz w:val="12"/>
      </w:rPr>
      <w:tblPr/>
      <w:tcPr>
        <w:tcBorders>
          <w:top w:val="single" w:sz="4" w:space="0" w:color="auto"/>
          <w:left w:val="nil"/>
          <w:bottom w:val="single" w:sz="4" w:space="0" w:color="auto"/>
          <w:right w:val="nil"/>
          <w:insideH w:val="nil"/>
          <w:insideV w:val="single" w:sz="8" w:space="0" w:color="auto"/>
          <w:tl2br w:val="nil"/>
          <w:tr2bl w:val="nil"/>
        </w:tcBorders>
        <w:shd w:val="clear" w:color="auto" w:fill="F7F9E8" w:themeFill="accent6"/>
      </w:tcPr>
    </w:tblStylePr>
  </w:style>
  <w:style w:type="paragraph" w:customStyle="1" w:styleId="TableIndent">
    <w:name w:val="TableIndent"/>
    <w:basedOn w:val="NIndent"/>
    <w:uiPriority w:val="23"/>
    <w:qFormat/>
    <w:rsid w:val="00B17116"/>
    <w:pPr>
      <w:ind w:left="181"/>
    </w:pPr>
  </w:style>
  <w:style w:type="paragraph" w:customStyle="1" w:styleId="TableNoSpacing">
    <w:name w:val="TableNoSpacing"/>
    <w:basedOn w:val="Normal"/>
    <w:uiPriority w:val="23"/>
    <w:qFormat/>
    <w:rsid w:val="000D2B9F"/>
    <w:pPr>
      <w:spacing w:before="0" w:after="0"/>
    </w:pPr>
  </w:style>
  <w:style w:type="paragraph" w:styleId="Closing">
    <w:name w:val="Closing"/>
    <w:basedOn w:val="Normal"/>
    <w:link w:val="ClosingChar"/>
    <w:uiPriority w:val="99"/>
    <w:unhideWhenUsed/>
    <w:qFormat/>
    <w:rsid w:val="00E11C7D"/>
    <w:pPr>
      <w:spacing w:before="200" w:after="0"/>
      <w:contextualSpacing/>
    </w:pPr>
  </w:style>
  <w:style w:type="character" w:customStyle="1" w:styleId="ClosingChar">
    <w:name w:val="Closing Char"/>
    <w:basedOn w:val="DefaultParagraphFont"/>
    <w:link w:val="Closing"/>
    <w:uiPriority w:val="99"/>
    <w:rsid w:val="00E11C7D"/>
    <w:rPr>
      <w:sz w:val="18"/>
    </w:rPr>
  </w:style>
  <w:style w:type="paragraph" w:customStyle="1" w:styleId="ClosingBold">
    <w:name w:val="ClosingBold"/>
    <w:basedOn w:val="Closing"/>
    <w:uiPriority w:val="99"/>
    <w:qFormat/>
    <w:rsid w:val="00957005"/>
    <w:pPr>
      <w:spacing w:before="0" w:after="80"/>
    </w:pPr>
    <w:rPr>
      <w:b/>
    </w:rPr>
  </w:style>
  <w:style w:type="paragraph" w:customStyle="1" w:styleId="Address">
    <w:name w:val="Address"/>
    <w:basedOn w:val="Normal"/>
    <w:uiPriority w:val="99"/>
    <w:qFormat/>
    <w:rsid w:val="007063FA"/>
    <w:pPr>
      <w:spacing w:before="0" w:after="0" w:line="170" w:lineRule="atLeast"/>
    </w:pPr>
    <w:rPr>
      <w:spacing w:val="4"/>
      <w:sz w:val="14"/>
    </w:rPr>
  </w:style>
  <w:style w:type="paragraph" w:styleId="Caption">
    <w:name w:val="caption"/>
    <w:basedOn w:val="Normal"/>
    <w:next w:val="Normal"/>
    <w:uiPriority w:val="35"/>
    <w:unhideWhenUsed/>
    <w:qFormat/>
    <w:rsid w:val="00E11C7D"/>
    <w:rPr>
      <w:rFonts w:asciiTheme="majorHAnsi" w:hAnsiTheme="majorHAnsi"/>
      <w:iCs/>
      <w:caps/>
      <w:sz w:val="16"/>
      <w:szCs w:val="18"/>
    </w:rPr>
  </w:style>
  <w:style w:type="paragraph" w:customStyle="1" w:styleId="TableColumnHeading">
    <w:name w:val="TableColumnHeading"/>
    <w:basedOn w:val="NIndent"/>
    <w:next w:val="Normal"/>
    <w:uiPriority w:val="23"/>
    <w:rsid w:val="00425BC1"/>
    <w:pPr>
      <w:spacing w:before="0" w:after="60"/>
      <w:ind w:left="0"/>
    </w:pPr>
    <w:rPr>
      <w:rFonts w:asciiTheme="majorHAnsi" w:hAnsiTheme="majorHAnsi"/>
      <w:caps/>
      <w:sz w:val="12"/>
      <w:szCs w:val="12"/>
    </w:rPr>
  </w:style>
  <w:style w:type="character" w:customStyle="1" w:styleId="TableNo">
    <w:name w:val="TableNo"/>
    <w:basedOn w:val="DefaultParagraphFont"/>
    <w:uiPriority w:val="23"/>
    <w:rsid w:val="00425BC1"/>
    <w:rPr>
      <w:rFonts w:asciiTheme="majorHAnsi" w:hAnsiTheme="majorHAnsi"/>
      <w:caps/>
      <w:smallCaps w:val="0"/>
      <w:sz w:val="16"/>
    </w:rPr>
  </w:style>
  <w:style w:type="character" w:customStyle="1" w:styleId="TableName">
    <w:name w:val="TableName"/>
    <w:basedOn w:val="DefaultParagraphFont"/>
    <w:uiPriority w:val="23"/>
    <w:rsid w:val="00425BC1"/>
    <w:rPr>
      <w:rFonts w:ascii="Gotham Light" w:hAnsi="Gotham Light"/>
      <w:caps/>
      <w:smallCaps w:val="0"/>
      <w:sz w:val="16"/>
    </w:rPr>
  </w:style>
  <w:style w:type="paragraph" w:customStyle="1" w:styleId="TableHeading">
    <w:name w:val="TableHeading"/>
    <w:basedOn w:val="TableColumnHeading"/>
    <w:next w:val="Normal"/>
    <w:uiPriority w:val="23"/>
    <w:rsid w:val="00425BC1"/>
    <w:rPr>
      <w:caps w:val="0"/>
      <w:sz w:val="16"/>
      <w:szCs w:val="16"/>
    </w:rPr>
  </w:style>
  <w:style w:type="paragraph" w:customStyle="1" w:styleId="LeftAlignedBullet">
    <w:name w:val="LeftAlignedBullet"/>
    <w:basedOn w:val="ListParagraph"/>
    <w:link w:val="LeftAlignedBulletChar"/>
    <w:uiPriority w:val="1"/>
    <w:qFormat/>
    <w:rsid w:val="006076A7"/>
    <w:pPr>
      <w:numPr>
        <w:numId w:val="2"/>
      </w:numPr>
      <w:spacing w:before="80"/>
      <w:contextualSpacing w:val="0"/>
    </w:pPr>
  </w:style>
  <w:style w:type="character" w:customStyle="1" w:styleId="LeftAlignedBulletChar">
    <w:name w:val="LeftAlignedBullet Char"/>
    <w:basedOn w:val="DefaultParagraphFont"/>
    <w:link w:val="LeftAlignedBullet"/>
    <w:uiPriority w:val="1"/>
    <w:rsid w:val="00DB1CEB"/>
    <w:rPr>
      <w:rFonts w:ascii="Neue Haas Grotesk Text Pro" w:hAnsi="Neue Haas Grotesk Text Pro"/>
      <w:sz w:val="20"/>
      <w:szCs w:val="20"/>
    </w:rPr>
  </w:style>
  <w:style w:type="paragraph" w:customStyle="1" w:styleId="HdgLeftIndent">
    <w:name w:val="HdgLeftIndent"/>
    <w:basedOn w:val="HdgLeft"/>
    <w:next w:val="NIndent"/>
    <w:link w:val="HdgLeftIndentChar"/>
    <w:uiPriority w:val="3"/>
    <w:qFormat/>
    <w:rsid w:val="00DB1CEB"/>
    <w:pPr>
      <w:ind w:left="567"/>
    </w:pPr>
    <w:rPr>
      <w:spacing w:val="0"/>
    </w:rPr>
  </w:style>
  <w:style w:type="table" w:customStyle="1" w:styleId="HGTable11">
    <w:name w:val="HGTable11"/>
    <w:basedOn w:val="TableNormal"/>
    <w:uiPriority w:val="99"/>
    <w:rsid w:val="006F2DC6"/>
    <w:pPr>
      <w:spacing w:before="0" w:after="0"/>
    </w:pPr>
    <w:tblPr>
      <w:tblBorders>
        <w:top w:val="single" w:sz="2" w:space="0" w:color="auto"/>
        <w:bottom w:val="single" w:sz="2" w:space="0" w:color="auto"/>
        <w:insideH w:val="single" w:sz="2" w:space="0" w:color="auto"/>
        <w:insideV w:val="single" w:sz="8" w:space="0" w:color="auto"/>
      </w:tblBorders>
    </w:tblPr>
    <w:tblStylePr w:type="firstRow">
      <w:rPr>
        <w:rFonts w:asciiTheme="majorHAnsi" w:hAnsiTheme="majorHAnsi"/>
        <w:caps w:val="0"/>
        <w:smallCaps w:val="0"/>
        <w:sz w:val="14"/>
      </w:rPr>
      <w:tblPr/>
      <w:tcPr>
        <w:tcBorders>
          <w:top w:val="single" w:sz="2" w:space="0" w:color="auto"/>
          <w:left w:val="nil"/>
          <w:bottom w:val="single" w:sz="2" w:space="0" w:color="auto"/>
          <w:right w:val="nil"/>
          <w:insideH w:val="nil"/>
          <w:insideV w:val="single" w:sz="8" w:space="0" w:color="auto"/>
          <w:tl2br w:val="nil"/>
          <w:tr2bl w:val="nil"/>
        </w:tcBorders>
        <w:shd w:val="clear" w:color="auto" w:fill="EBECED" w:themeFill="accent4"/>
      </w:tcPr>
    </w:tblStylePr>
  </w:style>
  <w:style w:type="paragraph" w:customStyle="1" w:styleId="TableNumbering">
    <w:name w:val="TableNumbering"/>
    <w:basedOn w:val="Normal"/>
    <w:link w:val="TableNumberingChar"/>
    <w:uiPriority w:val="23"/>
    <w:qFormat/>
    <w:rsid w:val="006F2DC6"/>
    <w:pPr>
      <w:numPr>
        <w:numId w:val="4"/>
      </w:numPr>
      <w:spacing w:before="80" w:after="0"/>
    </w:pPr>
  </w:style>
  <w:style w:type="paragraph" w:customStyle="1" w:styleId="TableBullets">
    <w:name w:val="TableBullets"/>
    <w:basedOn w:val="Normal"/>
    <w:link w:val="TableBulletsChar"/>
    <w:uiPriority w:val="23"/>
    <w:qFormat/>
    <w:rsid w:val="006F2DC6"/>
    <w:pPr>
      <w:numPr>
        <w:numId w:val="5"/>
      </w:numPr>
      <w:spacing w:before="80" w:after="0"/>
    </w:pPr>
  </w:style>
  <w:style w:type="character" w:customStyle="1" w:styleId="TableNumberingChar">
    <w:name w:val="TableNumbering Char"/>
    <w:basedOn w:val="DefaultParagraphFont"/>
    <w:link w:val="TableNumbering"/>
    <w:uiPriority w:val="23"/>
    <w:rsid w:val="006F2DC6"/>
    <w:rPr>
      <w:rFonts w:ascii="Neue Haas Grotesk Text Pro" w:hAnsi="Neue Haas Grotesk Text Pro"/>
      <w:sz w:val="20"/>
      <w:szCs w:val="20"/>
    </w:rPr>
  </w:style>
  <w:style w:type="character" w:customStyle="1" w:styleId="TableBulletsChar">
    <w:name w:val="TableBullets Char"/>
    <w:basedOn w:val="DefaultParagraphFont"/>
    <w:link w:val="TableBullets"/>
    <w:uiPriority w:val="23"/>
    <w:rsid w:val="006F2DC6"/>
    <w:rPr>
      <w:rFonts w:ascii="Neue Haas Grotesk Text Pro" w:hAnsi="Neue Haas Grotesk Text Pro"/>
      <w:sz w:val="20"/>
      <w:szCs w:val="20"/>
    </w:rPr>
  </w:style>
  <w:style w:type="paragraph" w:customStyle="1" w:styleId="HdgLeftIndentGreen">
    <w:name w:val="HdgLeftIndentGreen"/>
    <w:basedOn w:val="HdgLeftIndent"/>
    <w:next w:val="NIndent"/>
    <w:link w:val="HdgLeftIndentGreenChar"/>
    <w:uiPriority w:val="3"/>
    <w:qFormat/>
    <w:rsid w:val="00DB1CEB"/>
    <w:rPr>
      <w:color w:val="B5D334" w:themeColor="text2"/>
    </w:rPr>
  </w:style>
  <w:style w:type="character" w:customStyle="1" w:styleId="HdgRightChar">
    <w:name w:val="HdgRight Char"/>
    <w:basedOn w:val="DefaultParagraphFont"/>
    <w:link w:val="HdgRight"/>
    <w:uiPriority w:val="3"/>
    <w:rsid w:val="00DB1CEB"/>
    <w:rPr>
      <w:rFonts w:asciiTheme="majorHAnsi" w:hAnsiTheme="majorHAnsi"/>
      <w:caps/>
      <w:spacing w:val="-6"/>
      <w:sz w:val="18"/>
    </w:rPr>
  </w:style>
  <w:style w:type="character" w:customStyle="1" w:styleId="HdgLeftChar">
    <w:name w:val="HdgLeft Char"/>
    <w:basedOn w:val="HdgRightChar"/>
    <w:link w:val="HdgLeft"/>
    <w:uiPriority w:val="3"/>
    <w:rsid w:val="00DB1CEB"/>
    <w:rPr>
      <w:rFonts w:asciiTheme="majorHAnsi" w:hAnsiTheme="majorHAnsi"/>
      <w:caps/>
      <w:spacing w:val="-6"/>
      <w:sz w:val="18"/>
    </w:rPr>
  </w:style>
  <w:style w:type="character" w:customStyle="1" w:styleId="HdgLeftIndentChar">
    <w:name w:val="HdgLeftIndent Char"/>
    <w:basedOn w:val="HdgLeftChar"/>
    <w:link w:val="HdgLeftIndent"/>
    <w:uiPriority w:val="3"/>
    <w:rsid w:val="00DB1CEB"/>
    <w:rPr>
      <w:rFonts w:asciiTheme="majorHAnsi" w:hAnsiTheme="majorHAnsi"/>
      <w:caps/>
      <w:spacing w:val="-6"/>
      <w:sz w:val="18"/>
    </w:rPr>
  </w:style>
  <w:style w:type="character" w:customStyle="1" w:styleId="HdgLeftIndentGreenChar">
    <w:name w:val="HdgLeftIndentGreen Char"/>
    <w:basedOn w:val="HdgLeftIndentChar"/>
    <w:link w:val="HdgLeftIndentGreen"/>
    <w:uiPriority w:val="3"/>
    <w:rsid w:val="00DB1CEB"/>
    <w:rPr>
      <w:rFonts w:asciiTheme="majorHAnsi" w:hAnsiTheme="majorHAnsi"/>
      <w:caps/>
      <w:color w:val="B5D334" w:themeColor="text2"/>
      <w:spacing w:val="-6"/>
      <w:sz w:val="18"/>
    </w:rPr>
  </w:style>
  <w:style w:type="character" w:styleId="Hyperlink">
    <w:name w:val="Hyperlink"/>
    <w:basedOn w:val="DefaultParagraphFont"/>
    <w:uiPriority w:val="99"/>
    <w:semiHidden/>
    <w:unhideWhenUsed/>
    <w:rsid w:val="00C94C15"/>
    <w:rPr>
      <w:color w:val="B5D334" w:themeColor="hyperlink"/>
      <w:u w:val="single"/>
    </w:rPr>
  </w:style>
  <w:style w:type="paragraph" w:styleId="FootnoteText">
    <w:name w:val="footnote text"/>
    <w:basedOn w:val="Normal"/>
    <w:link w:val="FootnoteTextChar"/>
    <w:uiPriority w:val="99"/>
    <w:semiHidden/>
    <w:unhideWhenUsed/>
    <w:rsid w:val="00C94C15"/>
    <w:pPr>
      <w:spacing w:before="0" w:after="0"/>
    </w:pPr>
  </w:style>
  <w:style w:type="character" w:customStyle="1" w:styleId="FootnoteTextChar">
    <w:name w:val="Footnote Text Char"/>
    <w:basedOn w:val="DefaultParagraphFont"/>
    <w:link w:val="FootnoteText"/>
    <w:uiPriority w:val="99"/>
    <w:semiHidden/>
    <w:rsid w:val="00C94C15"/>
    <w:rPr>
      <w:rFonts w:ascii="Neue Haas Grotesk Text Pro" w:hAnsi="Neue Haas Grotesk Text Pro"/>
      <w:sz w:val="20"/>
      <w:szCs w:val="20"/>
    </w:rPr>
  </w:style>
  <w:style w:type="character" w:styleId="FootnoteReference">
    <w:name w:val="footnote reference"/>
    <w:basedOn w:val="DefaultParagraphFont"/>
    <w:uiPriority w:val="99"/>
    <w:semiHidden/>
    <w:unhideWhenUsed/>
    <w:rsid w:val="00C94C15"/>
    <w:rPr>
      <w:vertAlign w:val="superscript"/>
    </w:rPr>
  </w:style>
  <w:style w:type="paragraph" w:styleId="NormalWeb">
    <w:name w:val="Normal (Web)"/>
    <w:basedOn w:val="Normal"/>
    <w:uiPriority w:val="99"/>
    <w:semiHidden/>
    <w:unhideWhenUsed/>
    <w:rsid w:val="00370975"/>
    <w:pPr>
      <w:spacing w:before="100" w:beforeAutospacing="1" w:after="100" w:afterAutospacing="1" w:line="240" w:lineRule="auto"/>
    </w:pPr>
    <w:rPr>
      <w:rFonts w:ascii="Times New Roman" w:eastAsia="Times New Roman" w:hAnsi="Times New Roman" w:cs="Times New Roman"/>
      <w:kern w:val="0"/>
      <w:sz w:val="24"/>
      <w:szCs w:val="24"/>
      <w:lang w:eastAsia="en-N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382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mcconnell@harrisongrierson.com" TargetMode="Externa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Harrison Grierson">
  <a:themeElements>
    <a:clrScheme name="HG Colours">
      <a:dk1>
        <a:sysClr val="windowText" lastClr="000000"/>
      </a:dk1>
      <a:lt1>
        <a:srgbClr val="FFFFFF"/>
      </a:lt1>
      <a:dk2>
        <a:srgbClr val="B5D334"/>
      </a:dk2>
      <a:lt2>
        <a:srgbClr val="FFFFFF"/>
      </a:lt2>
      <a:accent1>
        <a:srgbClr val="B5D334"/>
      </a:accent1>
      <a:accent2>
        <a:srgbClr val="394049"/>
      </a:accent2>
      <a:accent3>
        <a:srgbClr val="868A90"/>
      </a:accent3>
      <a:accent4>
        <a:srgbClr val="EBECED"/>
      </a:accent4>
      <a:accent5>
        <a:srgbClr val="CDCED1"/>
      </a:accent5>
      <a:accent6>
        <a:srgbClr val="F7F9E8"/>
      </a:accent6>
      <a:hlink>
        <a:srgbClr val="B5D334"/>
      </a:hlink>
      <a:folHlink>
        <a:srgbClr val="394049"/>
      </a:folHlink>
    </a:clrScheme>
    <a:fontScheme name="HG Fonts">
      <a:majorFont>
        <a:latin typeface="Gotham Bold"/>
        <a:ea typeface=""/>
        <a:cs typeface=""/>
      </a:majorFont>
      <a:minorFont>
        <a:latin typeface="Caecilia LT Std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9EE6C2BF4A2D945994AEF4CED063F8B" ma:contentTypeVersion="13" ma:contentTypeDescription="Create a new document." ma:contentTypeScope="" ma:versionID="39ce750b6d42434022b4ae83af4b6b37">
  <xsd:schema xmlns:xsd="http://www.w3.org/2001/XMLSchema" xmlns:xs="http://www.w3.org/2001/XMLSchema" xmlns:p="http://schemas.microsoft.com/office/2006/metadata/properties" xmlns:ns2="63e52386-b448-46e4-9d8c-292c7c446cb7" xmlns:ns3="a0d4d512-c151-412e-9c01-74cfd19331f8" targetNamespace="http://schemas.microsoft.com/office/2006/metadata/properties" ma:root="true" ma:fieldsID="5652e56ee38f22b65c987ec1ee581f61" ns2:_="" ns3:_="">
    <xsd:import namespace="63e52386-b448-46e4-9d8c-292c7c446cb7"/>
    <xsd:import namespace="a0d4d512-c151-412e-9c01-74cfd19331f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e52386-b448-46e4-9d8c-292c7c446c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6167285-066f-4e4e-bb05-bda5bcf9f27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d4d512-c151-412e-9c01-74cfd19331f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104c462-ea71-4e0c-8ab3-a11414c302e7}" ma:internalName="TaxCatchAll" ma:showField="CatchAllData" ma:web="a0d4d512-c151-412e-9c01-74cfd19331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3e52386-b448-46e4-9d8c-292c7c446cb7">
      <Terms xmlns="http://schemas.microsoft.com/office/infopath/2007/PartnerControls"/>
    </lcf76f155ced4ddcb4097134ff3c332f>
    <TaxCatchAll xmlns="a0d4d512-c151-412e-9c01-74cfd19331f8" xsi:nil="true"/>
  </documentManagement>
</p:properties>
</file>

<file path=customXml/itemProps1.xml><?xml version="1.0" encoding="utf-8"?>
<ds:datastoreItem xmlns:ds="http://schemas.openxmlformats.org/officeDocument/2006/customXml" ds:itemID="{12A2D17E-3EDE-4003-BBFE-459E0A6BA34E}">
  <ds:schemaRefs>
    <ds:schemaRef ds:uri="http://schemas.openxmlformats.org/officeDocument/2006/bibliography"/>
  </ds:schemaRefs>
</ds:datastoreItem>
</file>

<file path=customXml/itemProps2.xml><?xml version="1.0" encoding="utf-8"?>
<ds:datastoreItem xmlns:ds="http://schemas.openxmlformats.org/officeDocument/2006/customXml" ds:itemID="{48E2D342-B5B3-456C-8541-43B4CB4C7256}"/>
</file>

<file path=customXml/itemProps3.xml><?xml version="1.0" encoding="utf-8"?>
<ds:datastoreItem xmlns:ds="http://schemas.openxmlformats.org/officeDocument/2006/customXml" ds:itemID="{B129C7F1-25EB-4DD1-A1DB-83DB3A5020B7}"/>
</file>

<file path=customXml/itemProps4.xml><?xml version="1.0" encoding="utf-8"?>
<ds:datastoreItem xmlns:ds="http://schemas.openxmlformats.org/officeDocument/2006/customXml" ds:itemID="{3871438A-6BF7-450E-96FA-B043B9B605A1}"/>
</file>

<file path=docProps/app.xml><?xml version="1.0" encoding="utf-8"?>
<Properties xmlns="http://schemas.openxmlformats.org/officeDocument/2006/extended-properties" xmlns:vt="http://schemas.openxmlformats.org/officeDocument/2006/docPropsVTypes">
  <Template>Normal</Template>
  <TotalTime>1</TotalTime>
  <Pages>7</Pages>
  <Words>2333</Words>
  <Characters>13030</Characters>
  <Application>Microsoft Office Word</Application>
  <DocSecurity>4</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McConnell</dc:creator>
  <cp:keywords/>
  <dc:description/>
  <cp:lastModifiedBy>Michael Brooks</cp:lastModifiedBy>
  <cp:revision>2</cp:revision>
  <cp:lastPrinted>2014-08-02T04:07:00Z</cp:lastPrinted>
  <dcterms:created xsi:type="dcterms:W3CDTF">2024-07-11T05:14:00Z</dcterms:created>
  <dcterms:modified xsi:type="dcterms:W3CDTF">2024-07-11T05:14:00Z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3c09663f1afaab4e45c8b1d9badae655e48a020c74fe67cfbbc15e52a077ebba</vt:lpwstr>
  </property>
  <property fmtid="{D5CDD505-2E9C-101B-9397-08002B2CF9AE}" pid="3" name="ContentTypeId">
    <vt:lpwstr>0x01010069EE6C2BF4A2D945994AEF4CED063F8B</vt:lpwstr>
  </property>
</Properties>
</file>